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591536" w14:textId="6AA14285" w:rsidR="006D7633" w:rsidRDefault="00B16009">
      <w:pPr>
        <w:ind w:left="2410"/>
      </w:pPr>
      <w:r>
        <w:rPr>
          <w:noProof/>
        </w:rPr>
        <w:drawing>
          <wp:anchor distT="0" distB="0" distL="114300" distR="114300" simplePos="0" relativeHeight="251658240" behindDoc="0" locked="0" layoutInCell="1" hidden="0" allowOverlap="1" wp14:anchorId="2EC2442F" wp14:editId="1E0D2AF0">
            <wp:simplePos x="0" y="0"/>
            <wp:positionH relativeFrom="column">
              <wp:posOffset>-539087</wp:posOffset>
            </wp:positionH>
            <wp:positionV relativeFrom="paragraph">
              <wp:posOffset>320723</wp:posOffset>
            </wp:positionV>
            <wp:extent cx="1630558" cy="2306450"/>
            <wp:effectExtent l="0" t="0" r="8255" b="0"/>
            <wp:wrapNone/>
            <wp:docPr id="275" name="image2.jpg"/>
            <wp:cNvGraphicFramePr/>
            <a:graphic xmlns:a="http://schemas.openxmlformats.org/drawingml/2006/main">
              <a:graphicData uri="http://schemas.openxmlformats.org/drawingml/2006/picture">
                <pic:pic xmlns:pic="http://schemas.openxmlformats.org/drawingml/2006/picture">
                  <pic:nvPicPr>
                    <pic:cNvPr id="275" name="image2.jpg"/>
                    <pic:cNvPicPr preferRelativeResize="0"/>
                  </pic:nvPicPr>
                  <pic:blipFill>
                    <a:blip r:embed="rId9" cstate="print">
                      <a:extLst>
                        <a:ext uri="{28A0092B-C50C-407E-A947-70E740481C1C}">
                          <a14:useLocalDpi xmlns:a14="http://schemas.microsoft.com/office/drawing/2010/main" val="0"/>
                        </a:ext>
                      </a:extLst>
                    </a:blip>
                    <a:stretch>
                      <a:fillRect/>
                    </a:stretch>
                  </pic:blipFill>
                  <pic:spPr>
                    <a:xfrm>
                      <a:off x="0" y="0"/>
                      <a:ext cx="1630558" cy="2306450"/>
                    </a:xfrm>
                    <a:prstGeom prst="rect">
                      <a:avLst/>
                    </a:prstGeom>
                    <a:ln/>
                  </pic:spPr>
                </pic:pic>
              </a:graphicData>
            </a:graphic>
          </wp:anchor>
        </w:drawing>
      </w:r>
      <w:r w:rsidR="00F9183E">
        <w:t xml:space="preserve"> </w:t>
      </w:r>
    </w:p>
    <w:p w14:paraId="798F8245" w14:textId="0532E6A1" w:rsidR="006D7633" w:rsidRPr="00FF2A67" w:rsidRDefault="00B16009">
      <w:pPr>
        <w:ind w:left="2410"/>
        <w:rPr>
          <w:color w:val="7B3F00"/>
        </w:rPr>
      </w:pPr>
      <w:r>
        <w:rPr>
          <w:noProof/>
          <w:color w:val="7B3F00"/>
        </w:rPr>
        <mc:AlternateContent>
          <mc:Choice Requires="wps">
            <w:drawing>
              <wp:anchor distT="0" distB="0" distL="114300" distR="114300" simplePos="0" relativeHeight="251662336" behindDoc="0" locked="0" layoutInCell="1" allowOverlap="1" wp14:anchorId="794F5758" wp14:editId="49B049A1">
                <wp:simplePos x="0" y="0"/>
                <wp:positionH relativeFrom="column">
                  <wp:posOffset>1311965</wp:posOffset>
                </wp:positionH>
                <wp:positionV relativeFrom="paragraph">
                  <wp:posOffset>32301</wp:posOffset>
                </wp:positionV>
                <wp:extent cx="0" cy="4721087"/>
                <wp:effectExtent l="0" t="0" r="38100" b="22860"/>
                <wp:wrapNone/>
                <wp:docPr id="4" name="Straight Connector 4"/>
                <wp:cNvGraphicFramePr/>
                <a:graphic xmlns:a="http://schemas.openxmlformats.org/drawingml/2006/main">
                  <a:graphicData uri="http://schemas.microsoft.com/office/word/2010/wordprocessingShape">
                    <wps:wsp>
                      <wps:cNvCnPr/>
                      <wps:spPr>
                        <a:xfrm>
                          <a:off x="0" y="0"/>
                          <a:ext cx="0" cy="4721087"/>
                        </a:xfrm>
                        <a:prstGeom prst="line">
                          <a:avLst/>
                        </a:prstGeom>
                        <a:noFill/>
                        <a:ln w="15875" cap="flat" cmpd="sng">
                          <a:solidFill>
                            <a:srgbClr val="7B3F00"/>
                          </a:solidFill>
                          <a:prstDash val="solid"/>
                          <a:miter lim="800000"/>
                          <a:headEnd type="none" w="sm" len="sm"/>
                          <a:tailEnd type="none" w="sm" len="sm"/>
                        </a:ln>
                      </wps:spPr>
                      <wps:bodyPr/>
                    </wps:wsp>
                  </a:graphicData>
                </a:graphic>
                <wp14:sizeRelV relativeFrom="margin">
                  <wp14:pctHeight>0</wp14:pctHeight>
                </wp14:sizeRelV>
              </wp:anchor>
            </w:drawing>
          </mc:Choice>
          <mc:Fallback xmlns:w16sdtdh="http://schemas.microsoft.com/office/word/2020/wordml/sdtdatahash" xmlns:w16du="http://schemas.microsoft.com/office/word/2023/wordml/word16du" xmlns:oel="http://schemas.microsoft.com/office/2019/extlst">
            <w:pict>
              <v:line w14:anchorId="3A7DB474" id="Straight Connector 4" o:spid="_x0000_s1026" style="position:absolute;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3.3pt,2.55pt" to="103.3pt,37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" strokecolor="#7b3f00" strokeweight="1.25pt">
                <v:stroke startarrowwidth="narrow" startarrowlength="short" endarrowwidth="narrow" endarrowlength="short" joinstyle="miter"/>
              </v:line>
            </w:pict>
          </mc:Fallback>
        </mc:AlternateContent>
      </w:r>
      <w:r w:rsidR="004A511C" w:rsidRPr="00FF2A67">
        <w:rPr>
          <w:color w:val="7B3F00"/>
        </w:rPr>
        <w:t xml:space="preserve">TAXATION STUDIES | RESEARCH ARTICLE </w:t>
      </w:r>
    </w:p>
    <w:p w14:paraId="1185801D" w14:textId="4EDF732B" w:rsidR="00D3538A" w:rsidRDefault="00D1502E">
      <w:pPr>
        <w:ind w:left="2410"/>
        <w:rPr>
          <w:rFonts w:ascii="Corbel" w:eastAsia="Corbel" w:hAnsi="Corbel" w:cs="Corbel"/>
          <w:b/>
          <w:sz w:val="30"/>
          <w:szCs w:val="30"/>
        </w:rPr>
      </w:pPr>
      <w:r w:rsidRPr="00D1502E">
        <w:rPr>
          <w:rFonts w:ascii="Corbel" w:eastAsia="Corbel" w:hAnsi="Corbel" w:cs="Corbel"/>
          <w:b/>
          <w:sz w:val="30"/>
          <w:szCs w:val="30"/>
        </w:rPr>
        <w:t>Tax Study and Financial Performance in the Tourism Industry Post-Pandemic</w:t>
      </w:r>
    </w:p>
    <w:p w14:paraId="5440AC66" w14:textId="77777777" w:rsidR="00775758" w:rsidRDefault="00775758" w:rsidP="00775758">
      <w:pPr>
        <w:ind w:left="2410"/>
        <w:rPr>
          <w:rFonts w:ascii="Corbel" w:eastAsia="Corbel" w:hAnsi="Corbel" w:cs="Corbel"/>
          <w:b/>
          <w:sz w:val="16"/>
          <w:szCs w:val="16"/>
          <w:vertAlign w:val="superscript"/>
        </w:rPr>
      </w:pPr>
      <w:bookmarkStart w:id="0" w:name="_Hlk175871784"/>
      <w:r w:rsidRPr="002F6B29">
        <w:rPr>
          <w:rFonts w:ascii="Corbel" w:eastAsia="Corbel" w:hAnsi="Corbel" w:cs="Corbel"/>
          <w:b/>
          <w:sz w:val="16"/>
          <w:szCs w:val="16"/>
        </w:rPr>
        <w:t>Mohammad Ridwan Rumasukun</w:t>
      </w:r>
      <w:r>
        <w:rPr>
          <w:rFonts w:ascii="Corbel" w:eastAsia="Corbel" w:hAnsi="Corbel" w:cs="Corbel"/>
          <w:b/>
          <w:sz w:val="16"/>
          <w:szCs w:val="16"/>
          <w:vertAlign w:val="superscript"/>
        </w:rPr>
        <w:t>1</w:t>
      </w:r>
      <w:r>
        <w:rPr>
          <w:rFonts w:ascii="Corbel" w:eastAsia="Corbel" w:hAnsi="Corbel" w:cs="Corbel"/>
          <w:b/>
          <w:sz w:val="16"/>
          <w:szCs w:val="16"/>
        </w:rPr>
        <w:t xml:space="preserve">, </w:t>
      </w:r>
      <w:r w:rsidRPr="002F6B29">
        <w:rPr>
          <w:rFonts w:ascii="Corbel" w:eastAsia="Corbel" w:hAnsi="Corbel" w:cs="Corbel"/>
          <w:b/>
          <w:sz w:val="16"/>
          <w:szCs w:val="16"/>
        </w:rPr>
        <w:t>Muhammad Yamin Noch</w:t>
      </w:r>
      <w:bookmarkEnd w:id="0"/>
      <w:r>
        <w:rPr>
          <w:rFonts w:ascii="Corbel" w:eastAsia="Corbel" w:hAnsi="Corbel" w:cs="Corbel"/>
          <w:b/>
          <w:sz w:val="16"/>
          <w:szCs w:val="16"/>
          <w:vertAlign w:val="superscript"/>
        </w:rPr>
        <w:t>2</w:t>
      </w:r>
      <w:r w:rsidRPr="002F6B29">
        <w:rPr>
          <w:rFonts w:ascii="Corbel" w:eastAsia="Corbel" w:hAnsi="Corbel" w:cs="Corbel"/>
          <w:b/>
          <w:sz w:val="16"/>
          <w:szCs w:val="16"/>
        </w:rPr>
        <w:t xml:space="preserve"> </w:t>
      </w:r>
    </w:p>
    <w:p w14:paraId="4A7793D4" w14:textId="5022996C" w:rsidR="00D3538A" w:rsidRDefault="00775758" w:rsidP="00775758">
      <w:pPr>
        <w:spacing w:after="0"/>
        <w:ind w:left="2410"/>
        <w:rPr>
          <w:rFonts w:ascii="Corbel" w:eastAsia="Corbel" w:hAnsi="Corbel" w:cs="Corbel"/>
          <w:sz w:val="16"/>
          <w:szCs w:val="16"/>
          <w:lang w:val="en"/>
        </w:rPr>
      </w:pPr>
      <w:r w:rsidRPr="00D3538A">
        <w:rPr>
          <w:rFonts w:ascii="Corbel" w:eastAsia="Corbel" w:hAnsi="Corbel" w:cs="Corbel"/>
          <w:sz w:val="16"/>
          <w:szCs w:val="16"/>
          <w:vertAlign w:val="superscript"/>
          <w:lang w:val="en"/>
        </w:rPr>
        <w:t>1</w:t>
      </w:r>
      <w:r>
        <w:rPr>
          <w:rFonts w:ascii="Corbel" w:eastAsia="Corbel" w:hAnsi="Corbel" w:cs="Corbel"/>
          <w:sz w:val="16"/>
          <w:szCs w:val="16"/>
          <w:vertAlign w:val="superscript"/>
          <w:lang w:val="en"/>
        </w:rPr>
        <w:t>,2</w:t>
      </w:r>
      <w:r w:rsidRPr="00D3538A">
        <w:rPr>
          <w:rFonts w:ascii="Corbel" w:eastAsia="Corbel" w:hAnsi="Corbel" w:cs="Corbel"/>
          <w:sz w:val="16"/>
          <w:szCs w:val="16"/>
          <w:lang w:val="en"/>
        </w:rPr>
        <w:t xml:space="preserve"> </w:t>
      </w:r>
      <w:r w:rsidRPr="00EA3B3F">
        <w:rPr>
          <w:rFonts w:ascii="Corbel" w:eastAsia="Corbel" w:hAnsi="Corbel" w:cs="Corbel"/>
          <w:sz w:val="16"/>
          <w:szCs w:val="16"/>
          <w:lang w:val="en"/>
        </w:rPr>
        <w:t xml:space="preserve">Department of </w:t>
      </w:r>
      <w:r>
        <w:rPr>
          <w:rFonts w:ascii="Corbel" w:eastAsia="Corbel" w:hAnsi="Corbel" w:cs="Corbel"/>
          <w:sz w:val="16"/>
          <w:szCs w:val="16"/>
          <w:lang w:val="en"/>
        </w:rPr>
        <w:t>Accounting</w:t>
      </w:r>
      <w:r w:rsidRPr="00EA3B3F">
        <w:rPr>
          <w:rFonts w:ascii="Corbel" w:eastAsia="Corbel" w:hAnsi="Corbel" w:cs="Corbel"/>
          <w:sz w:val="16"/>
          <w:szCs w:val="16"/>
          <w:lang w:val="en"/>
        </w:rPr>
        <w:t xml:space="preserve">, Faculty of Economics and Business, Universitas </w:t>
      </w:r>
      <w:r>
        <w:rPr>
          <w:rFonts w:ascii="Corbel" w:eastAsia="Corbel" w:hAnsi="Corbel" w:cs="Corbel"/>
          <w:sz w:val="16"/>
          <w:szCs w:val="16"/>
          <w:lang w:val="en"/>
        </w:rPr>
        <w:t>Yapis Papua</w:t>
      </w:r>
      <w:r w:rsidRPr="00EA3B3F">
        <w:rPr>
          <w:rFonts w:ascii="Corbel" w:eastAsia="Corbel" w:hAnsi="Corbel" w:cs="Corbel"/>
          <w:sz w:val="16"/>
          <w:szCs w:val="16"/>
          <w:lang w:val="en"/>
        </w:rPr>
        <w:t>, Indonesia. Email:</w:t>
      </w:r>
      <w:r>
        <w:rPr>
          <w:rFonts w:ascii="Corbel" w:eastAsia="Corbel" w:hAnsi="Corbel" w:cs="Corbel"/>
          <w:sz w:val="16"/>
          <w:szCs w:val="16"/>
          <w:lang w:val="en"/>
        </w:rPr>
        <w:t xml:space="preserve"> </w:t>
      </w:r>
      <w:hyperlink r:id="rId10" w:history="1">
        <w:r w:rsidRPr="00DA4F78">
          <w:rPr>
            <w:rStyle w:val="Hyperlink"/>
            <w:rFonts w:ascii="Corbel" w:eastAsia="Corbel" w:hAnsi="Corbel" w:cs="Corbel"/>
            <w:sz w:val="16"/>
            <w:szCs w:val="16"/>
            <w:lang w:val="en"/>
          </w:rPr>
          <w:t>iwanrr2018@gmail.com</w:t>
        </w:r>
      </w:hyperlink>
      <w:r>
        <w:rPr>
          <w:rFonts w:ascii="Corbel" w:eastAsia="Corbel" w:hAnsi="Corbel" w:cs="Corbel"/>
          <w:sz w:val="16"/>
          <w:szCs w:val="16"/>
          <w:lang w:val="en"/>
        </w:rPr>
        <w:t xml:space="preserve">, </w:t>
      </w:r>
      <w:hyperlink r:id="rId11" w:history="1">
        <w:r w:rsidRPr="00DA4F78">
          <w:rPr>
            <w:rStyle w:val="Hyperlink"/>
            <w:rFonts w:ascii="Corbel" w:eastAsia="Corbel" w:hAnsi="Corbel" w:cs="Corbel"/>
            <w:sz w:val="16"/>
            <w:szCs w:val="16"/>
            <w:lang w:val="en"/>
          </w:rPr>
          <w:t>abienoch12@gmail.com</w:t>
        </w:r>
      </w:hyperlink>
      <w:r w:rsidR="00F9183E">
        <w:rPr>
          <w:rFonts w:ascii="Corbel" w:eastAsia="Corbel" w:hAnsi="Corbel" w:cs="Corbel"/>
          <w:sz w:val="16"/>
          <w:szCs w:val="16"/>
          <w:lang w:val="en"/>
        </w:rPr>
        <w:t xml:space="preserve"> </w:t>
      </w:r>
      <w:r w:rsidR="00D3538A">
        <w:rPr>
          <w:rFonts w:ascii="Corbel" w:eastAsia="Corbel" w:hAnsi="Corbel" w:cs="Corbel"/>
          <w:sz w:val="16"/>
          <w:szCs w:val="16"/>
          <w:lang w:val="en"/>
        </w:rPr>
        <w:t xml:space="preserve"> </w:t>
      </w:r>
    </w:p>
    <w:p w14:paraId="686F0F4B" w14:textId="77777777" w:rsidR="00D3538A" w:rsidRPr="00D3538A" w:rsidRDefault="00D3538A" w:rsidP="00D3538A">
      <w:pPr>
        <w:spacing w:after="0"/>
        <w:ind w:left="2410"/>
        <w:rPr>
          <w:rFonts w:ascii="Corbel" w:eastAsia="Corbel" w:hAnsi="Corbel" w:cs="Corbel"/>
          <w:sz w:val="16"/>
          <w:szCs w:val="16"/>
          <w:lang w:val="en"/>
        </w:rPr>
      </w:pPr>
    </w:p>
    <w:p w14:paraId="07AAA3F0" w14:textId="6720C5F6" w:rsidR="006D7633" w:rsidRDefault="00FF2A67">
      <w:pPr>
        <w:ind w:left="2410"/>
        <w:jc w:val="both"/>
        <w:rPr>
          <w:rFonts w:ascii="EB Garamond" w:eastAsia="EB Garamond" w:hAnsi="EB Garamond" w:cs="EB Garamond"/>
          <w:color w:val="FF0000"/>
          <w:sz w:val="16"/>
          <w:szCs w:val="16"/>
        </w:rPr>
      </w:pPr>
      <w:r>
        <w:rPr>
          <w:noProof/>
        </w:rPr>
        <mc:AlternateContent>
          <mc:Choice Requires="wps">
            <w:drawing>
              <wp:anchor distT="0" distB="0" distL="114300" distR="114300" simplePos="0" relativeHeight="251660288" behindDoc="0" locked="0" layoutInCell="1" hidden="0" allowOverlap="1" wp14:anchorId="4725F75C" wp14:editId="5CD0EEA5">
                <wp:simplePos x="0" y="0"/>
                <wp:positionH relativeFrom="column">
                  <wp:posOffset>-606649</wp:posOffset>
                </wp:positionH>
                <wp:positionV relativeFrom="paragraph">
                  <wp:posOffset>827258</wp:posOffset>
                </wp:positionV>
                <wp:extent cx="1765300" cy="1807845"/>
                <wp:effectExtent l="0" t="0" r="6350" b="1905"/>
                <wp:wrapNone/>
                <wp:docPr id="270" name="Rectangle 270"/>
                <wp:cNvGraphicFramePr/>
                <a:graphic xmlns:a="http://schemas.openxmlformats.org/drawingml/2006/main">
                  <a:graphicData uri="http://schemas.microsoft.com/office/word/2010/wordprocessingShape">
                    <wps:wsp>
                      <wps:cNvSpPr/>
                      <wps:spPr>
                        <a:xfrm>
                          <a:off x="0" y="0"/>
                          <a:ext cx="1765300" cy="1807845"/>
                        </a:xfrm>
                        <a:prstGeom prst="rect">
                          <a:avLst/>
                        </a:prstGeom>
                        <a:solidFill>
                          <a:schemeClr val="lt1"/>
                        </a:solidFill>
                        <a:ln>
                          <a:noFill/>
                        </a:ln>
                      </wps:spPr>
                      <wps:txbx>
                        <w:txbxContent>
                          <w:p w14:paraId="31F7144B" w14:textId="1724C005" w:rsidR="00B16009" w:rsidRDefault="00B16009" w:rsidP="00B16009">
                            <w:pPr>
                              <w:spacing w:after="0" w:line="258" w:lineRule="auto"/>
                              <w:textDirection w:val="btLr"/>
                            </w:pPr>
                            <w:r w:rsidRPr="00FF2A67">
                              <w:rPr>
                                <w:color w:val="7B3F00"/>
                                <w:sz w:val="16"/>
                              </w:rPr>
                              <w:t>Received:</w:t>
                            </w:r>
                            <w:r>
                              <w:rPr>
                                <w:color w:val="000000"/>
                                <w:sz w:val="16"/>
                              </w:rPr>
                              <w:t xml:space="preserve"> </w:t>
                            </w:r>
                            <w:r w:rsidR="00775758">
                              <w:rPr>
                                <w:color w:val="000000"/>
                                <w:sz w:val="16"/>
                              </w:rPr>
                              <w:t>11</w:t>
                            </w:r>
                            <w:r>
                              <w:rPr>
                                <w:color w:val="000000"/>
                                <w:sz w:val="16"/>
                              </w:rPr>
                              <w:t xml:space="preserve"> </w:t>
                            </w:r>
                            <w:r w:rsidR="00775758">
                              <w:rPr>
                                <w:color w:val="000000"/>
                                <w:sz w:val="16"/>
                              </w:rPr>
                              <w:t>January</w:t>
                            </w:r>
                            <w:r>
                              <w:rPr>
                                <w:color w:val="000000"/>
                                <w:sz w:val="16"/>
                              </w:rPr>
                              <w:t xml:space="preserve"> 202</w:t>
                            </w:r>
                            <w:r w:rsidR="00775758">
                              <w:rPr>
                                <w:color w:val="000000"/>
                                <w:sz w:val="16"/>
                              </w:rPr>
                              <w:t>4</w:t>
                            </w:r>
                          </w:p>
                          <w:p w14:paraId="6ED261E7" w14:textId="318C271D" w:rsidR="00B16009" w:rsidRDefault="00B16009" w:rsidP="00B16009">
                            <w:pPr>
                              <w:spacing w:after="0" w:line="258" w:lineRule="auto"/>
                              <w:textDirection w:val="btLr"/>
                            </w:pPr>
                            <w:r w:rsidRPr="00FF2A67">
                              <w:rPr>
                                <w:color w:val="7B3F00"/>
                                <w:sz w:val="16"/>
                              </w:rPr>
                              <w:t>Revised:</w:t>
                            </w:r>
                            <w:r>
                              <w:rPr>
                                <w:color w:val="000000"/>
                                <w:sz w:val="16"/>
                              </w:rPr>
                              <w:t xml:space="preserve"> </w:t>
                            </w:r>
                            <w:r w:rsidR="00775758">
                              <w:rPr>
                                <w:color w:val="000000"/>
                                <w:sz w:val="16"/>
                              </w:rPr>
                              <w:t>05</w:t>
                            </w:r>
                            <w:r>
                              <w:rPr>
                                <w:color w:val="000000"/>
                                <w:sz w:val="16"/>
                              </w:rPr>
                              <w:t xml:space="preserve"> February 202</w:t>
                            </w:r>
                            <w:r w:rsidR="00775758">
                              <w:rPr>
                                <w:color w:val="000000"/>
                                <w:sz w:val="16"/>
                              </w:rPr>
                              <w:t>4</w:t>
                            </w:r>
                          </w:p>
                          <w:p w14:paraId="1802C0E6" w14:textId="662AEDD5" w:rsidR="00B16009" w:rsidRDefault="00B16009" w:rsidP="00B16009">
                            <w:pPr>
                              <w:spacing w:after="0" w:line="258" w:lineRule="auto"/>
                              <w:textDirection w:val="btLr"/>
                            </w:pPr>
                            <w:r w:rsidRPr="00FF2A67">
                              <w:rPr>
                                <w:color w:val="7B3F00"/>
                                <w:sz w:val="16"/>
                              </w:rPr>
                              <w:t>Accepted:</w:t>
                            </w:r>
                            <w:r>
                              <w:rPr>
                                <w:color w:val="000000"/>
                                <w:sz w:val="16"/>
                              </w:rPr>
                              <w:t xml:space="preserve"> 30 </w:t>
                            </w:r>
                            <w:r w:rsidR="00775758">
                              <w:rPr>
                                <w:color w:val="000000"/>
                                <w:sz w:val="16"/>
                              </w:rPr>
                              <w:t>May</w:t>
                            </w:r>
                            <w:r>
                              <w:rPr>
                                <w:color w:val="000000"/>
                                <w:sz w:val="16"/>
                              </w:rPr>
                              <w:t xml:space="preserve"> 202</w:t>
                            </w:r>
                            <w:r w:rsidR="00775758">
                              <w:rPr>
                                <w:color w:val="000000"/>
                                <w:sz w:val="16"/>
                              </w:rPr>
                              <w:t>4</w:t>
                            </w:r>
                          </w:p>
                          <w:p w14:paraId="5A48BCA2" w14:textId="77777777" w:rsidR="006D7633" w:rsidRDefault="006D7633" w:rsidP="00FF2A67">
                            <w:pPr>
                              <w:spacing w:after="0" w:line="258" w:lineRule="auto"/>
                              <w:ind w:left="425" w:firstLine="425"/>
                              <w:textDirection w:val="btLr"/>
                            </w:pPr>
                          </w:p>
                          <w:p w14:paraId="10016335" w14:textId="77777777" w:rsidR="00775758" w:rsidRDefault="00775758" w:rsidP="00775758">
                            <w:pPr>
                              <w:spacing w:after="0" w:line="258" w:lineRule="auto"/>
                              <w:textDirection w:val="btLr"/>
                            </w:pPr>
                            <w:r>
                              <w:rPr>
                                <w:color w:val="000000"/>
                                <w:sz w:val="16"/>
                              </w:rPr>
                              <w:t>*</w:t>
                            </w:r>
                            <w:r w:rsidRPr="00FF2A67">
                              <w:rPr>
                                <w:color w:val="7B3F00"/>
                                <w:sz w:val="16"/>
                              </w:rPr>
                              <w:t xml:space="preserve">Corresponding author: </w:t>
                            </w:r>
                            <w:r w:rsidRPr="00930C40">
                              <w:rPr>
                                <w:color w:val="000000"/>
                                <w:sz w:val="16"/>
                              </w:rPr>
                              <w:t>Mohammad Ridwan Rumasukun</w:t>
                            </w:r>
                            <w:r>
                              <w:rPr>
                                <w:color w:val="000000"/>
                                <w:sz w:val="16"/>
                              </w:rPr>
                              <w:t xml:space="preserve">, </w:t>
                            </w:r>
                            <w:r w:rsidRPr="00930C40">
                              <w:rPr>
                                <w:color w:val="000000"/>
                                <w:sz w:val="16"/>
                              </w:rPr>
                              <w:t>Department of Accounting, Faculty of Economics and Business, Universitas Yapis Papua, Indonesia</w:t>
                            </w:r>
                            <w:r w:rsidRPr="00A93449">
                              <w:rPr>
                                <w:color w:val="000000"/>
                                <w:sz w:val="16"/>
                              </w:rPr>
                              <w:t xml:space="preserve">. </w:t>
                            </w:r>
                            <w:r>
                              <w:rPr>
                                <w:color w:val="000000"/>
                                <w:sz w:val="16"/>
                              </w:rPr>
                              <w:t xml:space="preserve"> </w:t>
                            </w:r>
                            <w:r w:rsidRPr="00A93449">
                              <w:rPr>
                                <w:color w:val="000000"/>
                                <w:sz w:val="16"/>
                              </w:rPr>
                              <w:t xml:space="preserve"> </w:t>
                            </w:r>
                          </w:p>
                          <w:p w14:paraId="204793CA" w14:textId="77777777" w:rsidR="00775758" w:rsidRDefault="00775758" w:rsidP="00775758">
                            <w:pPr>
                              <w:spacing w:after="0" w:line="258" w:lineRule="auto"/>
                              <w:ind w:left="425" w:firstLine="425"/>
                              <w:textDirection w:val="btLr"/>
                            </w:pPr>
                          </w:p>
                          <w:p w14:paraId="74FD7450" w14:textId="77777777" w:rsidR="00775758" w:rsidRDefault="00775758" w:rsidP="00775758">
                            <w:pPr>
                              <w:spacing w:after="0" w:line="258" w:lineRule="auto"/>
                              <w:textDirection w:val="btLr"/>
                            </w:pPr>
                            <w:r w:rsidRPr="00FF2A67">
                              <w:rPr>
                                <w:color w:val="7B3F00"/>
                                <w:sz w:val="16"/>
                              </w:rPr>
                              <w:t xml:space="preserve">E-mail: </w:t>
                            </w:r>
                            <w:r w:rsidRPr="00930C40">
                              <w:rPr>
                                <w:rStyle w:val="Hyperlink"/>
                                <w:sz w:val="16"/>
                              </w:rPr>
                              <w:t>iwanrr2018@gmail.com</w:t>
                            </w:r>
                          </w:p>
                          <w:p w14:paraId="604C1973" w14:textId="53D791CE" w:rsidR="00F9183E" w:rsidRDefault="00F9183E" w:rsidP="00F9183E">
                            <w:pPr>
                              <w:spacing w:after="0" w:line="258" w:lineRule="auto"/>
                              <w:textDirection w:val="btLr"/>
                            </w:pPr>
                            <w:r>
                              <w:rPr>
                                <w:color w:val="000000"/>
                                <w:sz w:val="16"/>
                              </w:rPr>
                              <w:t xml:space="preserve">   </w:t>
                            </w:r>
                          </w:p>
                          <w:p w14:paraId="4666AD9F" w14:textId="0CF07545" w:rsidR="006D7633" w:rsidRDefault="00F9183E" w:rsidP="00F9183E">
                            <w:pPr>
                              <w:spacing w:after="0" w:line="258" w:lineRule="auto"/>
                              <w:textDirection w:val="btLr"/>
                            </w:pPr>
                            <w:r>
                              <w:t xml:space="preserve"> </w:t>
                            </w:r>
                          </w:p>
                          <w:p w14:paraId="6C1F778A" w14:textId="77777777" w:rsidR="006D7633" w:rsidRDefault="006D7633" w:rsidP="00FF2A67">
                            <w:pPr>
                              <w:spacing w:after="0" w:line="258" w:lineRule="auto"/>
                              <w:ind w:left="567" w:firstLine="567"/>
                              <w:textDirection w:val="btLr"/>
                            </w:pP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w14:anchorId="4725F75C" id="Rectangle 270" o:spid="_x0000_s1026" style="position:absolute;left:0;text-align:left;margin-left:-47.75pt;margin-top:65.15pt;width:139pt;height:142.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" fillcolor="white [3201]" stroked="f">
                <v:textbox inset="2.53958mm,1.2694mm,2.53958mm,1.2694mm">
                  <w:txbxContent>
                    <w:p w14:paraId="31F7144B" w14:textId="1724C005" w:rsidR="00B16009" w:rsidRDefault="00B16009" w:rsidP="00B16009">
                      <w:pPr>
                        <w:spacing w:after="0" w:line="258" w:lineRule="auto"/>
                        <w:textDirection w:val="btLr"/>
                      </w:pPr>
                      <w:r w:rsidRPr="00FF2A67">
                        <w:rPr>
                          <w:color w:val="7B3F00"/>
                          <w:sz w:val="16"/>
                        </w:rPr>
                        <w:t>Received:</w:t>
                      </w:r>
                      <w:r>
                        <w:rPr>
                          <w:color w:val="000000"/>
                          <w:sz w:val="16"/>
                        </w:rPr>
                        <w:t xml:space="preserve"> </w:t>
                      </w:r>
                      <w:r w:rsidR="00775758">
                        <w:rPr>
                          <w:color w:val="000000"/>
                          <w:sz w:val="16"/>
                        </w:rPr>
                        <w:t>11</w:t>
                      </w:r>
                      <w:r>
                        <w:rPr>
                          <w:color w:val="000000"/>
                          <w:sz w:val="16"/>
                        </w:rPr>
                        <w:t xml:space="preserve"> </w:t>
                      </w:r>
                      <w:r w:rsidR="00775758">
                        <w:rPr>
                          <w:color w:val="000000"/>
                          <w:sz w:val="16"/>
                        </w:rPr>
                        <w:t>January</w:t>
                      </w:r>
                      <w:r>
                        <w:rPr>
                          <w:color w:val="000000"/>
                          <w:sz w:val="16"/>
                        </w:rPr>
                        <w:t xml:space="preserve"> 202</w:t>
                      </w:r>
                      <w:r w:rsidR="00775758">
                        <w:rPr>
                          <w:color w:val="000000"/>
                          <w:sz w:val="16"/>
                        </w:rPr>
                        <w:t>4</w:t>
                      </w:r>
                    </w:p>
                    <w:p w14:paraId="6ED261E7" w14:textId="318C271D" w:rsidR="00B16009" w:rsidRDefault="00B16009" w:rsidP="00B16009">
                      <w:pPr>
                        <w:spacing w:after="0" w:line="258" w:lineRule="auto"/>
                        <w:textDirection w:val="btLr"/>
                      </w:pPr>
                      <w:r w:rsidRPr="00FF2A67">
                        <w:rPr>
                          <w:color w:val="7B3F00"/>
                          <w:sz w:val="16"/>
                        </w:rPr>
                        <w:t>Revised:</w:t>
                      </w:r>
                      <w:r>
                        <w:rPr>
                          <w:color w:val="000000"/>
                          <w:sz w:val="16"/>
                        </w:rPr>
                        <w:t xml:space="preserve"> </w:t>
                      </w:r>
                      <w:r w:rsidR="00775758">
                        <w:rPr>
                          <w:color w:val="000000"/>
                          <w:sz w:val="16"/>
                        </w:rPr>
                        <w:t>05</w:t>
                      </w:r>
                      <w:r>
                        <w:rPr>
                          <w:color w:val="000000"/>
                          <w:sz w:val="16"/>
                        </w:rPr>
                        <w:t xml:space="preserve"> February 202</w:t>
                      </w:r>
                      <w:r w:rsidR="00775758">
                        <w:rPr>
                          <w:color w:val="000000"/>
                          <w:sz w:val="16"/>
                        </w:rPr>
                        <w:t>4</w:t>
                      </w:r>
                    </w:p>
                    <w:p w14:paraId="1802C0E6" w14:textId="662AEDD5" w:rsidR="00B16009" w:rsidRDefault="00B16009" w:rsidP="00B16009">
                      <w:pPr>
                        <w:spacing w:after="0" w:line="258" w:lineRule="auto"/>
                        <w:textDirection w:val="btLr"/>
                      </w:pPr>
                      <w:r w:rsidRPr="00FF2A67">
                        <w:rPr>
                          <w:color w:val="7B3F00"/>
                          <w:sz w:val="16"/>
                        </w:rPr>
                        <w:t>Accepted:</w:t>
                      </w:r>
                      <w:r>
                        <w:rPr>
                          <w:color w:val="000000"/>
                          <w:sz w:val="16"/>
                        </w:rPr>
                        <w:t xml:space="preserve"> 30 </w:t>
                      </w:r>
                      <w:r w:rsidR="00775758">
                        <w:rPr>
                          <w:color w:val="000000"/>
                          <w:sz w:val="16"/>
                        </w:rPr>
                        <w:t>May</w:t>
                      </w:r>
                      <w:r>
                        <w:rPr>
                          <w:color w:val="000000"/>
                          <w:sz w:val="16"/>
                        </w:rPr>
                        <w:t xml:space="preserve"> 202</w:t>
                      </w:r>
                      <w:r w:rsidR="00775758">
                        <w:rPr>
                          <w:color w:val="000000"/>
                          <w:sz w:val="16"/>
                        </w:rPr>
                        <w:t>4</w:t>
                      </w:r>
                    </w:p>
                    <w:p w14:paraId="5A48BCA2" w14:textId="77777777" w:rsidR="006D7633" w:rsidRDefault="006D7633" w:rsidP="00FF2A67">
                      <w:pPr>
                        <w:spacing w:after="0" w:line="258" w:lineRule="auto"/>
                        <w:ind w:left="425" w:firstLine="425"/>
                        <w:textDirection w:val="btLr"/>
                      </w:pPr>
                    </w:p>
                    <w:p w14:paraId="10016335" w14:textId="77777777" w:rsidR="00775758" w:rsidRDefault="00775758" w:rsidP="00775758">
                      <w:pPr>
                        <w:spacing w:after="0" w:line="258" w:lineRule="auto"/>
                        <w:textDirection w:val="btLr"/>
                      </w:pPr>
                      <w:r>
                        <w:rPr>
                          <w:color w:val="000000"/>
                          <w:sz w:val="16"/>
                        </w:rPr>
                        <w:t>*</w:t>
                      </w:r>
                      <w:r w:rsidRPr="00FF2A67">
                        <w:rPr>
                          <w:color w:val="7B3F00"/>
                          <w:sz w:val="16"/>
                        </w:rPr>
                        <w:t xml:space="preserve">Corresponding author: </w:t>
                      </w:r>
                      <w:r w:rsidRPr="00930C40">
                        <w:rPr>
                          <w:color w:val="000000"/>
                          <w:sz w:val="16"/>
                        </w:rPr>
                        <w:t>Mohammad Ridwan Rumasukun</w:t>
                      </w:r>
                      <w:r>
                        <w:rPr>
                          <w:color w:val="000000"/>
                          <w:sz w:val="16"/>
                        </w:rPr>
                        <w:t xml:space="preserve">, </w:t>
                      </w:r>
                      <w:r w:rsidRPr="00930C40">
                        <w:rPr>
                          <w:color w:val="000000"/>
                          <w:sz w:val="16"/>
                        </w:rPr>
                        <w:t>Department of Accounting, Faculty of Economics and Business, Universitas Yapis Papua, Indonesia</w:t>
                      </w:r>
                      <w:r w:rsidRPr="00A93449">
                        <w:rPr>
                          <w:color w:val="000000"/>
                          <w:sz w:val="16"/>
                        </w:rPr>
                        <w:t xml:space="preserve">. </w:t>
                      </w:r>
                      <w:r>
                        <w:rPr>
                          <w:color w:val="000000"/>
                          <w:sz w:val="16"/>
                        </w:rPr>
                        <w:t xml:space="preserve"> </w:t>
                      </w:r>
                      <w:r w:rsidRPr="00A93449">
                        <w:rPr>
                          <w:color w:val="000000"/>
                          <w:sz w:val="16"/>
                        </w:rPr>
                        <w:t xml:space="preserve"> </w:t>
                      </w:r>
                    </w:p>
                    <w:p w14:paraId="204793CA" w14:textId="77777777" w:rsidR="00775758" w:rsidRDefault="00775758" w:rsidP="00775758">
                      <w:pPr>
                        <w:spacing w:after="0" w:line="258" w:lineRule="auto"/>
                        <w:ind w:left="425" w:firstLine="425"/>
                        <w:textDirection w:val="btLr"/>
                      </w:pPr>
                    </w:p>
                    <w:p w14:paraId="74FD7450" w14:textId="77777777" w:rsidR="00775758" w:rsidRDefault="00775758" w:rsidP="00775758">
                      <w:pPr>
                        <w:spacing w:after="0" w:line="258" w:lineRule="auto"/>
                        <w:textDirection w:val="btLr"/>
                      </w:pPr>
                      <w:r w:rsidRPr="00FF2A67">
                        <w:rPr>
                          <w:color w:val="7B3F00"/>
                          <w:sz w:val="16"/>
                        </w:rPr>
                        <w:t xml:space="preserve">E-mail: </w:t>
                      </w:r>
                      <w:r w:rsidRPr="00930C40">
                        <w:rPr>
                          <w:rStyle w:val="Hyperlink"/>
                          <w:sz w:val="16"/>
                        </w:rPr>
                        <w:t>iwanrr2018@gmail.com</w:t>
                      </w:r>
                    </w:p>
                    <w:p w14:paraId="604C1973" w14:textId="53D791CE" w:rsidR="00F9183E" w:rsidRDefault="00F9183E" w:rsidP="00F9183E">
                      <w:pPr>
                        <w:spacing w:after="0" w:line="258" w:lineRule="auto"/>
                        <w:textDirection w:val="btLr"/>
                      </w:pPr>
                      <w:r>
                        <w:rPr>
                          <w:color w:val="000000"/>
                          <w:sz w:val="16"/>
                        </w:rPr>
                        <w:t xml:space="preserve">   </w:t>
                      </w:r>
                    </w:p>
                    <w:p w14:paraId="4666AD9F" w14:textId="0CF07545" w:rsidR="006D7633" w:rsidRDefault="00F9183E" w:rsidP="00F9183E">
                      <w:pPr>
                        <w:spacing w:after="0" w:line="258" w:lineRule="auto"/>
                        <w:textDirection w:val="btLr"/>
                      </w:pPr>
                      <w:r>
                        <w:t xml:space="preserve"> </w:t>
                      </w:r>
                    </w:p>
                    <w:p w14:paraId="6C1F778A" w14:textId="77777777" w:rsidR="006D7633" w:rsidRDefault="006D7633" w:rsidP="00FF2A67">
                      <w:pPr>
                        <w:spacing w:after="0" w:line="258" w:lineRule="auto"/>
                        <w:ind w:left="567" w:firstLine="567"/>
                        <w:textDirection w:val="btLr"/>
                      </w:pPr>
                    </w:p>
                  </w:txbxContent>
                </v:textbox>
              </v:rect>
            </w:pict>
          </mc:Fallback>
        </mc:AlternateContent>
      </w:r>
      <w:r>
        <w:rPr>
          <w:rFonts w:ascii="Corbel" w:eastAsia="Corbel" w:hAnsi="Corbel" w:cs="Corbel"/>
          <w:b/>
          <w:color w:val="7B3F00"/>
          <w:sz w:val="20"/>
          <w:szCs w:val="20"/>
        </w:rPr>
        <w:t>Abstract:</w:t>
      </w:r>
      <w:r>
        <w:rPr>
          <w:rFonts w:ascii="Corbel" w:eastAsia="Corbel" w:hAnsi="Corbel" w:cs="Corbel"/>
          <w:b/>
          <w:color w:val="FF0000"/>
          <w:sz w:val="20"/>
          <w:szCs w:val="20"/>
        </w:rPr>
        <w:t xml:space="preserve"> </w:t>
      </w:r>
      <w:r w:rsidR="00D1502E" w:rsidRPr="00D1502E">
        <w:rPr>
          <w:rFonts w:ascii="EB Garamond" w:eastAsia="EB Garamond" w:hAnsi="EB Garamond" w:cs="EB Garamond"/>
          <w:color w:val="000000"/>
          <w:sz w:val="18"/>
          <w:szCs w:val="18"/>
        </w:rPr>
        <w:t>This study conducts a comprehensive literature review to investigate the intersection of taxation policies and financial performance in the tourism industry, particularly in the post-pandemic context. The research aims to examine the impact of the COVID-19 pandemic on tourism financial performance, assess the role of taxation policies in supporting tourism recovery, and identify implications for theory and practice. A systematic review methodology is employed, involving the identification, evaluation, and synthesis of relevant literature from academic databases and scholarly sources. The analysis reveals significant adverse impacts of the pandemic on tourism revenues, profitability, and employment, exacerbating existing vulnerabilities within the sector. Taxation policies emerge as critical instruments for mitigating economic downturns, fostering resilience, and promoting sustainable development in tourism-dependent communities. Key findings underscore the need for flexible and adaptive taxation policies that align with evolving industry dynamics and prioritize social equity, environmental sustainability, and destination competitiveness. Implications for policymakers, industry stakeholders, and destination managers are discussed, emphasizing the importance of collaborative governance, innovation, and stakeholder engagement in shaping a more resilient and inclusive tourism future. The study contributes to theoretical understanding and practical decision-making in the field, offering insights into the multifaceted relationship between taxation policies, financial performance, and destination development in the post-pandemic era.</w:t>
      </w:r>
    </w:p>
    <w:p w14:paraId="385FF30C" w14:textId="0B057045" w:rsidR="006D7633" w:rsidRDefault="004A511C" w:rsidP="00FF2A67">
      <w:pPr>
        <w:spacing w:after="0" w:line="240" w:lineRule="auto"/>
        <w:ind w:left="2410"/>
        <w:jc w:val="both"/>
        <w:rPr>
          <w:rFonts w:ascii="Corbel" w:eastAsia="Corbel" w:hAnsi="Corbel" w:cs="Corbel"/>
          <w:color w:val="FF0000"/>
          <w:sz w:val="16"/>
          <w:szCs w:val="16"/>
        </w:rPr>
      </w:pPr>
      <w:r w:rsidRPr="003424FC">
        <w:rPr>
          <w:rFonts w:ascii="Corbel" w:eastAsia="Corbel" w:hAnsi="Corbel" w:cs="Corbel"/>
          <w:b/>
          <w:color w:val="7B3F00"/>
          <w:sz w:val="16"/>
          <w:szCs w:val="16"/>
        </w:rPr>
        <w:t>Keywords</w:t>
      </w:r>
      <w:r w:rsidRPr="003424FC">
        <w:rPr>
          <w:rFonts w:ascii="Corbel" w:eastAsia="Corbel" w:hAnsi="Corbel" w:cs="Corbel"/>
          <w:color w:val="7B3F00"/>
          <w:sz w:val="16"/>
          <w:szCs w:val="16"/>
        </w:rPr>
        <w:t>:</w:t>
      </w:r>
      <w:r>
        <w:rPr>
          <w:rFonts w:ascii="Corbel" w:eastAsia="Corbel" w:hAnsi="Corbel" w:cs="Corbel"/>
          <w:sz w:val="16"/>
          <w:szCs w:val="16"/>
        </w:rPr>
        <w:t xml:space="preserve"> </w:t>
      </w:r>
      <w:r w:rsidR="00D1502E" w:rsidRPr="00D1502E">
        <w:rPr>
          <w:rFonts w:ascii="Corbel" w:eastAsia="Corbel" w:hAnsi="Corbel" w:cs="Corbel"/>
          <w:sz w:val="16"/>
          <w:szCs w:val="16"/>
        </w:rPr>
        <w:t>Tourism, Taxation Policies, Financial Performance, COVID-19 Pandemic, Sustainable Development.</w:t>
      </w:r>
    </w:p>
    <w:p w14:paraId="53FBEA6D" w14:textId="77777777" w:rsidR="006D7633" w:rsidRDefault="006D7633">
      <w:pPr>
        <w:spacing w:after="0" w:line="240" w:lineRule="auto"/>
        <w:ind w:left="2410"/>
        <w:jc w:val="both"/>
        <w:rPr>
          <w:rFonts w:ascii="Corbel" w:eastAsia="Corbel" w:hAnsi="Corbel" w:cs="Corbel"/>
          <w:sz w:val="16"/>
          <w:szCs w:val="16"/>
        </w:rPr>
      </w:pPr>
    </w:p>
    <w:p w14:paraId="025D33FD" w14:textId="77777777" w:rsidR="006D7633" w:rsidRDefault="006D7633">
      <w:pPr>
        <w:spacing w:after="0" w:line="240" w:lineRule="auto"/>
        <w:ind w:left="2410"/>
        <w:jc w:val="both"/>
        <w:rPr>
          <w:rFonts w:ascii="Corbel" w:eastAsia="Corbel" w:hAnsi="Corbel" w:cs="Corbel"/>
          <w:sz w:val="16"/>
          <w:szCs w:val="16"/>
        </w:rPr>
      </w:pPr>
    </w:p>
    <w:p w14:paraId="4CA022F6" w14:textId="77777777" w:rsidR="00D3538A" w:rsidRDefault="00D3538A">
      <w:pPr>
        <w:spacing w:after="0" w:line="240" w:lineRule="auto"/>
        <w:ind w:left="2410"/>
        <w:jc w:val="both"/>
        <w:rPr>
          <w:rFonts w:ascii="Corbel" w:eastAsia="Corbel" w:hAnsi="Corbel" w:cs="Corbel"/>
          <w:sz w:val="16"/>
          <w:szCs w:val="16"/>
        </w:rPr>
      </w:pPr>
    </w:p>
    <w:p w14:paraId="366A1E19" w14:textId="77777777" w:rsidR="00D3538A" w:rsidRDefault="00D3538A">
      <w:pPr>
        <w:spacing w:after="0" w:line="240" w:lineRule="auto"/>
        <w:ind w:left="2410"/>
        <w:jc w:val="both"/>
        <w:rPr>
          <w:rFonts w:ascii="Corbel" w:eastAsia="Corbel" w:hAnsi="Corbel" w:cs="Corbel"/>
          <w:sz w:val="16"/>
          <w:szCs w:val="16"/>
        </w:rPr>
      </w:pPr>
    </w:p>
    <w:p w14:paraId="201170B0" w14:textId="77777777" w:rsidR="006D7633" w:rsidRDefault="006D7633">
      <w:pPr>
        <w:spacing w:after="0" w:line="240" w:lineRule="auto"/>
        <w:ind w:left="2410"/>
        <w:jc w:val="both"/>
        <w:rPr>
          <w:rFonts w:ascii="Corbel" w:eastAsia="Corbel" w:hAnsi="Corbel" w:cs="Corbel"/>
          <w:sz w:val="16"/>
          <w:szCs w:val="16"/>
        </w:rPr>
      </w:pPr>
    </w:p>
    <w:p w14:paraId="581CCDFA" w14:textId="77777777" w:rsidR="006D7633" w:rsidRDefault="004A511C">
      <w:pPr>
        <w:numPr>
          <w:ilvl w:val="0"/>
          <w:numId w:val="13"/>
        </w:numPr>
        <w:pBdr>
          <w:top w:val="nil"/>
          <w:left w:val="nil"/>
          <w:bottom w:val="nil"/>
          <w:right w:val="nil"/>
          <w:between w:val="nil"/>
        </w:pBdr>
        <w:spacing w:after="0" w:line="240" w:lineRule="auto"/>
        <w:ind w:left="1560"/>
        <w:jc w:val="both"/>
        <w:rPr>
          <w:b/>
          <w:color w:val="FF0000"/>
        </w:rPr>
      </w:pPr>
      <w:r w:rsidRPr="00FF2A67">
        <w:rPr>
          <w:b/>
          <w:color w:val="7B3F00"/>
        </w:rPr>
        <w:t xml:space="preserve">INTRODUCTION </w:t>
      </w:r>
    </w:p>
    <w:p w14:paraId="6416D8F1" w14:textId="77777777" w:rsidR="006D7633" w:rsidRDefault="006D7633">
      <w:pPr>
        <w:pBdr>
          <w:top w:val="nil"/>
          <w:left w:val="nil"/>
          <w:bottom w:val="nil"/>
          <w:right w:val="nil"/>
          <w:between w:val="nil"/>
        </w:pBdr>
        <w:spacing w:after="0" w:line="240" w:lineRule="auto"/>
        <w:ind w:left="2770"/>
        <w:jc w:val="both"/>
        <w:rPr>
          <w:rFonts w:ascii="Corbel" w:eastAsia="Corbel" w:hAnsi="Corbel" w:cs="Corbel"/>
          <w:b/>
          <w:color w:val="FF0000"/>
          <w:sz w:val="16"/>
          <w:szCs w:val="16"/>
        </w:rPr>
      </w:pPr>
    </w:p>
    <w:p w14:paraId="56917619" w14:textId="77777777" w:rsidR="00D1502E" w:rsidRPr="00D1502E" w:rsidRDefault="00D1502E" w:rsidP="00D1502E">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r w:rsidRPr="00D1502E">
        <w:rPr>
          <w:rFonts w:ascii="EB Garamond" w:eastAsia="EB Garamond" w:hAnsi="EB Garamond" w:cs="EB Garamond"/>
          <w:color w:val="000000"/>
          <w:sz w:val="20"/>
          <w:szCs w:val="20"/>
        </w:rPr>
        <w:t>The global tourism industry has been significantly impacted by the COVID-19 pandemic, facing unprecedented challenges that have reshaped its landscape. As economies gradually emerge from the shadows of the pandemic, it becomes imperative to assess the repercussions and strategize for recovery. Central to this assessment is understanding the relationship between taxation policies and financial performance within the tourism sector. This study aims to delve into this intricate relationship, exploring the nuances of tax structures and their impact on the financial dynamics of tourism enterprises post-pandemic. Tourism, as a vital sector of many economies, plays a pivotal role in driving economic growth, employment, and development. However, the pandemic-induced disruptions have posed severe challenges, including travel restrictions, border closures, and changes in consumer behavior, leading to substantial revenue losses across the industry. Amidst this backdrop, taxation policies wield significant influence, shaping the financial landscape for tourism businesses. Taxes levied on various aspects of the industry, including accommodation, transportation, and attractions, directly impact profitability, investment decisions, and overall financial performance.</w:t>
      </w:r>
    </w:p>
    <w:p w14:paraId="256C70A1" w14:textId="77777777" w:rsidR="00D1502E" w:rsidRPr="00D1502E" w:rsidRDefault="00D1502E" w:rsidP="00D1502E">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r w:rsidRPr="00D1502E">
        <w:rPr>
          <w:rFonts w:ascii="EB Garamond" w:eastAsia="EB Garamond" w:hAnsi="EB Garamond" w:cs="EB Garamond"/>
          <w:color w:val="000000"/>
          <w:sz w:val="20"/>
          <w:szCs w:val="20"/>
        </w:rPr>
        <w:t xml:space="preserve"> The specific focus of this study lies in elucidating the interplay between tax policies and financial performance within the post-pandemic tourism industry. It seeks to unravel how variations in tax regimes, such as corporate income taxes, value-added taxes (VAT), and tourist-specific levies, influence </w:t>
      </w:r>
      <w:r w:rsidRPr="00D1502E">
        <w:rPr>
          <w:rFonts w:ascii="EB Garamond" w:eastAsia="EB Garamond" w:hAnsi="EB Garamond" w:cs="EB Garamond"/>
          <w:color w:val="000000"/>
          <w:sz w:val="20"/>
          <w:szCs w:val="20"/>
        </w:rPr>
        <w:lastRenderedPageBreak/>
        <w:t>the financial health and operational strategies of tourism enterprises. Furthermore, it aims to identify potential disparities in taxation across different segments of the tourism value chain, including accommodation providers, tour operators, and destination management organizations. The post-pandemic era presents a unique phenomenon wherein governments worldwide are reevaluating their taxation strategies to stimulate tourism recovery while ensuring fiscal sustainability. On one hand, there is a pressing need to generate revenue to support economic recovery efforts, necessitating the imposition of taxes. On the other hand, excessive taxation could impede the competitiveness of tourism businesses, hampering their ability to recover and thrive in a post-pandemic environment. This juxtaposition underscores the complexity of the phenomenon and the critical need for empirical research to inform evidence-based policymaking.</w:t>
      </w:r>
    </w:p>
    <w:p w14:paraId="4C299845" w14:textId="77777777" w:rsidR="00D1502E" w:rsidRPr="00D1502E" w:rsidRDefault="00D1502E" w:rsidP="00D1502E">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r w:rsidRPr="00D1502E">
        <w:rPr>
          <w:rFonts w:ascii="EB Garamond" w:eastAsia="EB Garamond" w:hAnsi="EB Garamond" w:cs="EB Garamond"/>
          <w:color w:val="000000"/>
          <w:sz w:val="20"/>
          <w:szCs w:val="20"/>
        </w:rPr>
        <w:t>Previous studies have explored the relationship between taxation and tourism, albeit within different contexts and research paradigms. Some research has focused on the impact of specific taxes, such as tourist taxes or VAT rates, on tourism demand and destination competitiveness. Others have examined the broader implications of taxation policies on the financial performance and investment behavior of tourism businesses. While these studies provide valuable insights, there remains a dearth of research specifically addressing the post-pandemic landscape and its implications for taxation and financial performance in the tourism sector. The COVID-19 pandemic has had a significant impact on the financial performance of the tourism industry, with companies in the sector showing good financial positions post-pandemic (Yıldız, 2023). To support the industry, countries have implemented financial and monetary policies, including credit and liquidity support, tax breaks, and low interest rates (Şengel, 2022). However, the hotel industry has been particularly hard hit, with increased systematic risk and significant differences in taxation levels (Koutoupis, 2022). The European Union has also implemented financial policies to support the tourism industry during the pandemic (Şengel, 2021).</w:t>
      </w:r>
    </w:p>
    <w:p w14:paraId="61C31AEE" w14:textId="72C3695A" w:rsidR="006D7633" w:rsidRDefault="00D1502E" w:rsidP="00D1502E">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r w:rsidRPr="00D1502E">
        <w:rPr>
          <w:rFonts w:ascii="EB Garamond" w:eastAsia="EB Garamond" w:hAnsi="EB Garamond" w:cs="EB Garamond"/>
          <w:color w:val="000000"/>
          <w:sz w:val="20"/>
          <w:szCs w:val="20"/>
        </w:rPr>
        <w:t>Maintaining objectivity is paramount in empirical research, particularly in quantitative descriptive studies. Objectivity entails a systematic and unbiased approach to data collection, analysis, and interpretation, aimed at producing reliable and valid findings. In this study, objectivity will be ensured through rigorous methodological frameworks, transparent reporting of findings, and adherence to established academic standards. By upholding objectivity, this research endeavors to contribute empirically grounded insights that can inform policymakers, industry stakeholders, and academic discourse on the intricate relationship between taxation and financial performance in the post-pandemic tourism industry. The proposed study seeks to advance understanding of the complex interplay between taxation policies and financial performance in the post-pandemic tourism industry. By examining this relationship through a quantitative descriptive lens, it aims to provide empirical evidence that can inform policy formulation, strategic decision-making, and scholarly inquiry in the field. Through a rigorous and objective approach, this research endeavors to contribute meaningfully to the ongoing discourse surrounding taxation, tourism, and economic recovery in a post-pandemic world.</w:t>
      </w:r>
    </w:p>
    <w:p w14:paraId="14ED12A0" w14:textId="77777777" w:rsidR="006D7633" w:rsidRDefault="006D7633">
      <w:pPr>
        <w:pBdr>
          <w:top w:val="nil"/>
          <w:left w:val="nil"/>
          <w:bottom w:val="nil"/>
          <w:right w:val="nil"/>
          <w:between w:val="nil"/>
        </w:pBdr>
        <w:spacing w:after="0" w:line="240" w:lineRule="auto"/>
        <w:ind w:left="2410" w:firstLine="283"/>
        <w:jc w:val="both"/>
        <w:rPr>
          <w:rFonts w:ascii="EB Garamond" w:eastAsia="EB Garamond" w:hAnsi="EB Garamond" w:cs="EB Garamond"/>
          <w:color w:val="000000"/>
          <w:sz w:val="20"/>
          <w:szCs w:val="20"/>
        </w:rPr>
      </w:pPr>
    </w:p>
    <w:p w14:paraId="65F048C2" w14:textId="21690B11" w:rsidR="006D7633" w:rsidRPr="00FF2A67" w:rsidRDefault="00775758" w:rsidP="00FF2A67">
      <w:pPr>
        <w:numPr>
          <w:ilvl w:val="0"/>
          <w:numId w:val="13"/>
        </w:numPr>
        <w:pBdr>
          <w:top w:val="nil"/>
          <w:left w:val="nil"/>
          <w:bottom w:val="nil"/>
          <w:right w:val="nil"/>
          <w:between w:val="nil"/>
        </w:pBdr>
        <w:spacing w:after="0" w:line="240" w:lineRule="auto"/>
        <w:ind w:left="1560"/>
        <w:jc w:val="both"/>
        <w:rPr>
          <w:rFonts w:ascii="Corbel" w:eastAsia="Corbel" w:hAnsi="Corbel" w:cs="Corbel"/>
          <w:sz w:val="20"/>
          <w:szCs w:val="20"/>
        </w:rPr>
      </w:pPr>
      <w:r w:rsidRPr="00FF2A67">
        <w:rPr>
          <w:b/>
          <w:color w:val="7B3F00"/>
        </w:rPr>
        <w:t xml:space="preserve">LITERATURE REVIEW </w:t>
      </w:r>
    </w:p>
    <w:p w14:paraId="4E242300" w14:textId="77777777" w:rsidR="00FF2A67" w:rsidRPr="00FF2A67" w:rsidRDefault="00FF2A67" w:rsidP="00FF2A67">
      <w:pPr>
        <w:pBdr>
          <w:top w:val="nil"/>
          <w:left w:val="nil"/>
          <w:bottom w:val="nil"/>
          <w:right w:val="nil"/>
          <w:between w:val="nil"/>
        </w:pBdr>
        <w:spacing w:after="0" w:line="240" w:lineRule="auto"/>
        <w:ind w:left="1560"/>
        <w:jc w:val="both"/>
        <w:rPr>
          <w:rFonts w:ascii="Corbel" w:eastAsia="Corbel" w:hAnsi="Corbel" w:cs="Corbel"/>
          <w:sz w:val="20"/>
          <w:szCs w:val="20"/>
        </w:rPr>
      </w:pPr>
    </w:p>
    <w:p w14:paraId="1DCC0EF9" w14:textId="77777777" w:rsidR="00D1502E" w:rsidRPr="00D1502E" w:rsidRDefault="00D1502E" w:rsidP="00D1502E">
      <w:pPr>
        <w:pBdr>
          <w:top w:val="nil"/>
          <w:left w:val="nil"/>
          <w:bottom w:val="nil"/>
          <w:right w:val="nil"/>
          <w:between w:val="nil"/>
        </w:pBdr>
        <w:spacing w:after="0" w:line="240" w:lineRule="auto"/>
        <w:ind w:left="1260" w:firstLine="270"/>
        <w:jc w:val="both"/>
        <w:rPr>
          <w:rFonts w:ascii="EB Garamond" w:eastAsia="EB Garamond" w:hAnsi="EB Garamond" w:cs="EB Garamond"/>
          <w:color w:val="000000"/>
          <w:sz w:val="20"/>
          <w:szCs w:val="20"/>
        </w:rPr>
      </w:pPr>
      <w:r w:rsidRPr="00D1502E">
        <w:rPr>
          <w:rFonts w:ascii="EB Garamond" w:eastAsia="EB Garamond" w:hAnsi="EB Garamond" w:cs="EB Garamond"/>
          <w:color w:val="000000"/>
          <w:sz w:val="20"/>
          <w:szCs w:val="20"/>
        </w:rPr>
        <w:t>The literature surrounding the intersection of taxation policies and financial performance within the tourism industry offers valuable insights into the complex dynamics at play. This literature review aims to synthesize existing research, providing a comprehensive understanding of relevant studies, definitions, and specific explanations pertaining to this domain. By delving into seminal works and recent contributions, this review elucidates key concepts, theoretical frameworks, and empirical findings that inform the proposed study on tax study and financial performance in the post-pandemic tourism industry.</w:t>
      </w:r>
    </w:p>
    <w:p w14:paraId="386716C9" w14:textId="77777777" w:rsidR="00D1502E" w:rsidRPr="00D1502E" w:rsidRDefault="00D1502E" w:rsidP="00D1502E">
      <w:pPr>
        <w:pBdr>
          <w:top w:val="nil"/>
          <w:left w:val="nil"/>
          <w:bottom w:val="nil"/>
          <w:right w:val="nil"/>
          <w:between w:val="nil"/>
        </w:pBdr>
        <w:spacing w:after="0" w:line="240" w:lineRule="auto"/>
        <w:ind w:left="1260" w:firstLine="270"/>
        <w:jc w:val="both"/>
        <w:rPr>
          <w:rFonts w:ascii="EB Garamond" w:eastAsia="EB Garamond" w:hAnsi="EB Garamond" w:cs="EB Garamond"/>
          <w:color w:val="000000"/>
          <w:sz w:val="20"/>
          <w:szCs w:val="20"/>
        </w:rPr>
      </w:pPr>
    </w:p>
    <w:p w14:paraId="65E1FCED" w14:textId="3991247C" w:rsidR="00D1502E" w:rsidRPr="00775758" w:rsidRDefault="00D1502E" w:rsidP="00D1502E">
      <w:pPr>
        <w:pStyle w:val="ListParagraph"/>
        <w:numPr>
          <w:ilvl w:val="1"/>
          <w:numId w:val="13"/>
        </w:numPr>
        <w:pBdr>
          <w:top w:val="nil"/>
          <w:left w:val="nil"/>
          <w:bottom w:val="nil"/>
          <w:right w:val="nil"/>
          <w:between w:val="nil"/>
        </w:pBdr>
        <w:spacing w:after="0" w:line="240" w:lineRule="auto"/>
        <w:ind w:left="1530"/>
        <w:jc w:val="both"/>
        <w:rPr>
          <w:rFonts w:ascii="Corbel" w:eastAsia="Corbel" w:hAnsi="Corbel" w:cs="Corbel"/>
          <w:bCs/>
          <w:i/>
          <w:iCs/>
          <w:color w:val="7B3F00"/>
          <w:sz w:val="20"/>
          <w:szCs w:val="20"/>
          <w:lang w:eastAsia="id-ID"/>
        </w:rPr>
      </w:pPr>
      <w:r w:rsidRPr="00775758">
        <w:rPr>
          <w:rFonts w:ascii="Corbel" w:eastAsia="Corbel" w:hAnsi="Corbel" w:cs="Corbel"/>
          <w:bCs/>
          <w:i/>
          <w:iCs/>
          <w:color w:val="7B3F00"/>
          <w:sz w:val="20"/>
          <w:szCs w:val="20"/>
          <w:lang w:eastAsia="id-ID"/>
        </w:rPr>
        <w:t>Taxation Policies in the Tourism Sector</w:t>
      </w:r>
    </w:p>
    <w:p w14:paraId="29B0FD1F" w14:textId="77777777" w:rsidR="00D1502E" w:rsidRPr="00D1502E" w:rsidRDefault="00D1502E" w:rsidP="00D1502E">
      <w:pPr>
        <w:pBdr>
          <w:top w:val="nil"/>
          <w:left w:val="nil"/>
          <w:bottom w:val="nil"/>
          <w:right w:val="nil"/>
          <w:between w:val="nil"/>
        </w:pBdr>
        <w:spacing w:after="0" w:line="240" w:lineRule="auto"/>
        <w:ind w:left="1260" w:firstLine="270"/>
        <w:jc w:val="both"/>
        <w:rPr>
          <w:rFonts w:ascii="EB Garamond" w:eastAsia="EB Garamond" w:hAnsi="EB Garamond" w:cs="EB Garamond"/>
          <w:color w:val="000000"/>
          <w:sz w:val="20"/>
          <w:szCs w:val="20"/>
        </w:rPr>
      </w:pPr>
    </w:p>
    <w:p w14:paraId="05EB4CC1" w14:textId="77777777" w:rsidR="00D1502E" w:rsidRPr="00D1502E" w:rsidRDefault="00D1502E" w:rsidP="00D1502E">
      <w:pPr>
        <w:pBdr>
          <w:top w:val="nil"/>
          <w:left w:val="nil"/>
          <w:bottom w:val="nil"/>
          <w:right w:val="nil"/>
          <w:between w:val="nil"/>
        </w:pBdr>
        <w:spacing w:after="0" w:line="240" w:lineRule="auto"/>
        <w:ind w:left="1260" w:firstLine="270"/>
        <w:jc w:val="both"/>
        <w:rPr>
          <w:rFonts w:ascii="EB Garamond" w:eastAsia="EB Garamond" w:hAnsi="EB Garamond" w:cs="EB Garamond"/>
          <w:color w:val="000000"/>
          <w:sz w:val="20"/>
          <w:szCs w:val="20"/>
        </w:rPr>
      </w:pPr>
      <w:r w:rsidRPr="00D1502E">
        <w:rPr>
          <w:rFonts w:ascii="EB Garamond" w:eastAsia="EB Garamond" w:hAnsi="EB Garamond" w:cs="EB Garamond"/>
          <w:color w:val="000000"/>
          <w:sz w:val="20"/>
          <w:szCs w:val="20"/>
        </w:rPr>
        <w:t xml:space="preserve">Taxation policies play a critical role in shaping the financial landscape of the tourism industry. Governments worldwide implement various taxes, including corporate income taxes, value-added taxes </w:t>
      </w:r>
      <w:r w:rsidRPr="00D1502E">
        <w:rPr>
          <w:rFonts w:ascii="EB Garamond" w:eastAsia="EB Garamond" w:hAnsi="EB Garamond" w:cs="EB Garamond"/>
          <w:color w:val="000000"/>
          <w:sz w:val="20"/>
          <w:szCs w:val="20"/>
        </w:rPr>
        <w:lastRenderedPageBreak/>
        <w:t>(VAT), tourist-specific levies, and environmental taxes, among others, to generate revenue and regulate tourism activities (Jin, 2017). The impact of these taxes on tourism enterprises' financial performance depends on factors such as tax rates, tax bases, enforcement mechanisms, and industry-specific characteristics (Nunkoo &amp; Ramkissoon, 2011).</w:t>
      </w:r>
    </w:p>
    <w:p w14:paraId="2EEC4E53" w14:textId="77777777" w:rsidR="00D1502E" w:rsidRPr="00D1502E" w:rsidRDefault="00D1502E" w:rsidP="00D1502E">
      <w:pPr>
        <w:pBdr>
          <w:top w:val="nil"/>
          <w:left w:val="nil"/>
          <w:bottom w:val="nil"/>
          <w:right w:val="nil"/>
          <w:between w:val="nil"/>
        </w:pBdr>
        <w:spacing w:after="0" w:line="240" w:lineRule="auto"/>
        <w:ind w:left="1260" w:firstLine="270"/>
        <w:jc w:val="both"/>
        <w:rPr>
          <w:rFonts w:ascii="EB Garamond" w:eastAsia="EB Garamond" w:hAnsi="EB Garamond" w:cs="EB Garamond"/>
          <w:color w:val="000000"/>
          <w:sz w:val="20"/>
          <w:szCs w:val="20"/>
        </w:rPr>
      </w:pPr>
    </w:p>
    <w:p w14:paraId="3A858132" w14:textId="74E1A3A7" w:rsidR="00D1502E" w:rsidRPr="00775758" w:rsidRDefault="00D1502E" w:rsidP="00D1502E">
      <w:pPr>
        <w:pStyle w:val="ListParagraph"/>
        <w:numPr>
          <w:ilvl w:val="1"/>
          <w:numId w:val="13"/>
        </w:numPr>
        <w:pBdr>
          <w:top w:val="nil"/>
          <w:left w:val="nil"/>
          <w:bottom w:val="nil"/>
          <w:right w:val="nil"/>
          <w:between w:val="nil"/>
        </w:pBdr>
        <w:spacing w:after="0" w:line="240" w:lineRule="auto"/>
        <w:ind w:left="1530"/>
        <w:jc w:val="both"/>
        <w:rPr>
          <w:rFonts w:ascii="Corbel" w:eastAsia="Corbel" w:hAnsi="Corbel" w:cs="Corbel"/>
          <w:bCs/>
          <w:i/>
          <w:iCs/>
          <w:color w:val="7B3F00"/>
          <w:sz w:val="20"/>
          <w:szCs w:val="20"/>
          <w:lang w:eastAsia="id-ID"/>
        </w:rPr>
      </w:pPr>
      <w:r w:rsidRPr="00775758">
        <w:rPr>
          <w:rFonts w:ascii="Corbel" w:eastAsia="Corbel" w:hAnsi="Corbel" w:cs="Corbel"/>
          <w:bCs/>
          <w:i/>
          <w:iCs/>
          <w:color w:val="7B3F00"/>
          <w:sz w:val="20"/>
          <w:szCs w:val="20"/>
          <w:lang w:eastAsia="id-ID"/>
        </w:rPr>
        <w:t>Financial Performance of Tourism Enterprise</w:t>
      </w:r>
    </w:p>
    <w:p w14:paraId="2EBA3A19" w14:textId="77777777" w:rsidR="00D1502E" w:rsidRPr="00D1502E" w:rsidRDefault="00D1502E" w:rsidP="00D1502E">
      <w:pPr>
        <w:pBdr>
          <w:top w:val="nil"/>
          <w:left w:val="nil"/>
          <w:bottom w:val="nil"/>
          <w:right w:val="nil"/>
          <w:between w:val="nil"/>
        </w:pBdr>
        <w:spacing w:after="0" w:line="240" w:lineRule="auto"/>
        <w:ind w:left="1260" w:firstLine="270"/>
        <w:jc w:val="both"/>
        <w:rPr>
          <w:rFonts w:ascii="EB Garamond" w:eastAsia="EB Garamond" w:hAnsi="EB Garamond" w:cs="EB Garamond"/>
          <w:color w:val="000000"/>
          <w:sz w:val="20"/>
          <w:szCs w:val="20"/>
        </w:rPr>
      </w:pPr>
    </w:p>
    <w:p w14:paraId="3953B03E" w14:textId="77777777" w:rsidR="00D1502E" w:rsidRPr="00D1502E" w:rsidRDefault="00D1502E" w:rsidP="00D1502E">
      <w:pPr>
        <w:pBdr>
          <w:top w:val="nil"/>
          <w:left w:val="nil"/>
          <w:bottom w:val="nil"/>
          <w:right w:val="nil"/>
          <w:between w:val="nil"/>
        </w:pBdr>
        <w:spacing w:after="0" w:line="240" w:lineRule="auto"/>
        <w:ind w:left="1260" w:firstLine="270"/>
        <w:jc w:val="both"/>
        <w:rPr>
          <w:rFonts w:ascii="EB Garamond" w:eastAsia="EB Garamond" w:hAnsi="EB Garamond" w:cs="EB Garamond"/>
          <w:color w:val="000000"/>
          <w:sz w:val="20"/>
          <w:szCs w:val="20"/>
        </w:rPr>
      </w:pPr>
      <w:r w:rsidRPr="00D1502E">
        <w:rPr>
          <w:rFonts w:ascii="EB Garamond" w:eastAsia="EB Garamond" w:hAnsi="EB Garamond" w:cs="EB Garamond"/>
          <w:color w:val="000000"/>
          <w:sz w:val="20"/>
          <w:szCs w:val="20"/>
        </w:rPr>
        <w:t>Financial performance metrics serve as crucial indicators of the health and vitality of tourism enterprises, reflecting their ability to generate profits, manage resources efficiently, and navigate the complexities of the market landscape. As emphasized by Kim and Ali (2019), these metrics encompass a range of dimensions, including profitability, liquidity, efficiency, and solvency, each offering valuable insights into the financial well-being of tourism businesses. Commonly utilized financial indicators such as net profit margin, return on investment (ROI), asset turnover, and debt-to-equity ratio provide stakeholders with quantitative measures to assess performance and make informed decisions. Recent research has shed light on the evolving dynamics shaping the financial performance of tourism enterprises, uncovering new insights and trends that warrant consideration. For instance, studies have highlighted the increasing importance of sustainability metrics in assessing the long-term viability and resilience of tourism businesses (Fraj-Andrés et al., 2021). As sustainable practices become integral to consumer preferences and regulatory requirements, tourism enterprises must integrate environmental, social, and governance (ESG) factors into their financial performance assessments to remain competitive and mitigate risks.</w:t>
      </w:r>
    </w:p>
    <w:p w14:paraId="5A9D0839" w14:textId="77777777" w:rsidR="00D1502E" w:rsidRPr="00D1502E" w:rsidRDefault="00D1502E" w:rsidP="00D1502E">
      <w:pPr>
        <w:pBdr>
          <w:top w:val="nil"/>
          <w:left w:val="nil"/>
          <w:bottom w:val="nil"/>
          <w:right w:val="nil"/>
          <w:between w:val="nil"/>
        </w:pBdr>
        <w:spacing w:after="0" w:line="240" w:lineRule="auto"/>
        <w:ind w:left="1260" w:firstLine="270"/>
        <w:jc w:val="both"/>
        <w:rPr>
          <w:rFonts w:ascii="EB Garamond" w:eastAsia="EB Garamond" w:hAnsi="EB Garamond" w:cs="EB Garamond"/>
          <w:color w:val="000000"/>
          <w:sz w:val="20"/>
          <w:szCs w:val="20"/>
        </w:rPr>
      </w:pPr>
      <w:r w:rsidRPr="00D1502E">
        <w:rPr>
          <w:rFonts w:ascii="EB Garamond" w:eastAsia="EB Garamond" w:hAnsi="EB Garamond" w:cs="EB Garamond"/>
          <w:color w:val="000000"/>
          <w:sz w:val="20"/>
          <w:szCs w:val="20"/>
        </w:rPr>
        <w:t>Furthermore, advancements in technology have ushered in new opportunities and challenges for tourism businesses, impacting their financial performance in multifaceted ways. Research by Wang et al. (2023) underscores the transformative effects of digitalization on revenue management, customer engagement, and operational efficiency within the tourism sector. As businesses leverage data analytics, artificial intelligence, and online platforms to enhance customer experiences and optimize operations, traditional financial metrics may need to be supplemented with digital performance indicators to capture the full spectrum of value creation. In addition to internal factors, the financial performance of tourism enterprises is profoundly influenced by external forces, including regulatory environments, competitive dynamics, and macroeconomic conditions. Recent studies have highlighted the implications of regulatory changes, such as tax reforms and environmental regulations, on tourism businesses' profitability and investment decisions (Brouder et al., 2022). Moreover, the COVID-19 pandemic has brought unprecedented disruptions to the tourism industry, amplifying the significance of factors such as risk management, adaptability, and crisis resilience in shaping financial outcomes (Gössling et al., 2022). The assessment of financial performance in the tourism industry continues to evolve in response to emerging trends, technological advancements, and external pressures. Integrating insights from recent research, stakeholders can gain a holistic understanding of the factors driving financial performance and proactively address challenges and opportunities in an increasingly dynamic and competitive landscape.</w:t>
      </w:r>
    </w:p>
    <w:p w14:paraId="55515A68" w14:textId="77777777" w:rsidR="00D1502E" w:rsidRPr="00D1502E" w:rsidRDefault="00D1502E" w:rsidP="00D1502E">
      <w:pPr>
        <w:pBdr>
          <w:top w:val="nil"/>
          <w:left w:val="nil"/>
          <w:bottom w:val="nil"/>
          <w:right w:val="nil"/>
          <w:between w:val="nil"/>
        </w:pBdr>
        <w:spacing w:after="0" w:line="240" w:lineRule="auto"/>
        <w:ind w:left="1260" w:firstLine="270"/>
        <w:jc w:val="both"/>
        <w:rPr>
          <w:rFonts w:ascii="EB Garamond" w:eastAsia="EB Garamond" w:hAnsi="EB Garamond" w:cs="EB Garamond"/>
          <w:color w:val="000000"/>
          <w:sz w:val="20"/>
          <w:szCs w:val="20"/>
        </w:rPr>
      </w:pPr>
    </w:p>
    <w:p w14:paraId="2D06309B" w14:textId="539F5045" w:rsidR="00D1502E" w:rsidRPr="00775758" w:rsidRDefault="00D1502E" w:rsidP="00D1502E">
      <w:pPr>
        <w:pStyle w:val="ListParagraph"/>
        <w:numPr>
          <w:ilvl w:val="1"/>
          <w:numId w:val="13"/>
        </w:numPr>
        <w:pBdr>
          <w:top w:val="nil"/>
          <w:left w:val="nil"/>
          <w:bottom w:val="nil"/>
          <w:right w:val="nil"/>
          <w:between w:val="nil"/>
        </w:pBdr>
        <w:spacing w:after="0" w:line="240" w:lineRule="auto"/>
        <w:ind w:left="1530"/>
        <w:jc w:val="both"/>
        <w:rPr>
          <w:rFonts w:ascii="Corbel" w:eastAsia="Corbel" w:hAnsi="Corbel" w:cs="Corbel"/>
          <w:bCs/>
          <w:i/>
          <w:iCs/>
          <w:color w:val="7B3F00"/>
          <w:sz w:val="20"/>
          <w:szCs w:val="20"/>
          <w:lang w:eastAsia="id-ID"/>
        </w:rPr>
      </w:pPr>
      <w:r w:rsidRPr="00775758">
        <w:rPr>
          <w:rFonts w:ascii="Corbel" w:eastAsia="Corbel" w:hAnsi="Corbel" w:cs="Corbel"/>
          <w:bCs/>
          <w:i/>
          <w:iCs/>
          <w:color w:val="7B3F00"/>
          <w:sz w:val="20"/>
          <w:szCs w:val="20"/>
          <w:lang w:eastAsia="id-ID"/>
        </w:rPr>
        <w:t>Theoretical Frameworks</w:t>
      </w:r>
    </w:p>
    <w:p w14:paraId="61838891" w14:textId="77777777" w:rsidR="00D1502E" w:rsidRPr="00D1502E" w:rsidRDefault="00D1502E" w:rsidP="00D1502E">
      <w:pPr>
        <w:pBdr>
          <w:top w:val="nil"/>
          <w:left w:val="nil"/>
          <w:bottom w:val="nil"/>
          <w:right w:val="nil"/>
          <w:between w:val="nil"/>
        </w:pBdr>
        <w:spacing w:after="0" w:line="240" w:lineRule="auto"/>
        <w:ind w:left="1260" w:firstLine="270"/>
        <w:jc w:val="both"/>
        <w:rPr>
          <w:rFonts w:ascii="EB Garamond" w:eastAsia="EB Garamond" w:hAnsi="EB Garamond" w:cs="EB Garamond"/>
          <w:color w:val="000000"/>
          <w:sz w:val="20"/>
          <w:szCs w:val="20"/>
        </w:rPr>
      </w:pPr>
    </w:p>
    <w:p w14:paraId="0E1B0FDA" w14:textId="77777777" w:rsidR="00D1502E" w:rsidRPr="00D1502E" w:rsidRDefault="00D1502E" w:rsidP="00D1502E">
      <w:pPr>
        <w:pBdr>
          <w:top w:val="nil"/>
          <w:left w:val="nil"/>
          <w:bottom w:val="nil"/>
          <w:right w:val="nil"/>
          <w:between w:val="nil"/>
        </w:pBdr>
        <w:spacing w:after="0" w:line="240" w:lineRule="auto"/>
        <w:ind w:left="1260" w:firstLine="270"/>
        <w:jc w:val="both"/>
        <w:rPr>
          <w:rFonts w:ascii="EB Garamond" w:eastAsia="EB Garamond" w:hAnsi="EB Garamond" w:cs="EB Garamond"/>
          <w:color w:val="000000"/>
          <w:sz w:val="20"/>
          <w:szCs w:val="20"/>
        </w:rPr>
      </w:pPr>
      <w:r w:rsidRPr="00D1502E">
        <w:rPr>
          <w:rFonts w:ascii="EB Garamond" w:eastAsia="EB Garamond" w:hAnsi="EB Garamond" w:cs="EB Garamond"/>
          <w:color w:val="000000"/>
          <w:sz w:val="20"/>
          <w:szCs w:val="20"/>
        </w:rPr>
        <w:t>Theoretical frameworks serve as guiding principles in understanding the intricate relationship between taxation policies and financial performance within the dynamic landscape of the tourism industry. While classical theories provide foundational insights, recent research has expanded upon and refined these frameworks, offering fresh perspectives and nuanced interpretations. The neoclassical economic theory, as elucidated by Blumenthal and Slemrod (1992), posits that taxes distort market equilibrium by altering the incentives and behaviors of economic agents. Recent studies have explored the implications of this theory in the context of tourism taxation, highlighting its relevance in assessing the efficiency and equity of tax policies (Jin, 2017). For instance, research by Xiong et al. (2021) examines the impact of destination taxes on tourist demand elasticity, revealing how tax burdens can influence consumer choices and destination competitiveness.</w:t>
      </w:r>
    </w:p>
    <w:p w14:paraId="3F3BC442" w14:textId="77777777" w:rsidR="00D1502E" w:rsidRPr="00D1502E" w:rsidRDefault="00D1502E" w:rsidP="00D1502E">
      <w:pPr>
        <w:pBdr>
          <w:top w:val="nil"/>
          <w:left w:val="nil"/>
          <w:bottom w:val="nil"/>
          <w:right w:val="nil"/>
          <w:between w:val="nil"/>
        </w:pBdr>
        <w:spacing w:after="0" w:line="240" w:lineRule="auto"/>
        <w:ind w:left="1260" w:firstLine="270"/>
        <w:jc w:val="both"/>
        <w:rPr>
          <w:rFonts w:ascii="EB Garamond" w:eastAsia="EB Garamond" w:hAnsi="EB Garamond" w:cs="EB Garamond"/>
          <w:color w:val="000000"/>
          <w:sz w:val="20"/>
          <w:szCs w:val="20"/>
        </w:rPr>
      </w:pPr>
      <w:r w:rsidRPr="00D1502E">
        <w:rPr>
          <w:rFonts w:ascii="EB Garamond" w:eastAsia="EB Garamond" w:hAnsi="EB Garamond" w:cs="EB Garamond"/>
          <w:color w:val="000000"/>
          <w:sz w:val="20"/>
          <w:szCs w:val="20"/>
        </w:rPr>
        <w:lastRenderedPageBreak/>
        <w:t>Similarly, the tax incidence theory, pioneered by Pigou (1928), offers insights into how taxes are distributed among stakeholders in the tourism value chain. Recent scholarship has extended this theory to analyze the incidence of various tourism-related taxes, such as accommodation taxes and carbon taxes, on different industry actors (Wan et al., 2020). By considering factors such as price elasticity of demand and supply, researchers have uncovered the differential effects of taxation on tourists, businesses, and local communities, informing debates on tax burden sharing and policy design. Moreover, the institutional theory emphasizes the role of institutional factors in shaping taxation policies and their impact on business behavior (Scott, 2014). Recent studies have explored how institutional contexts, including legal systems, political dynamics, and governance structures, influence tax compliance and enforcement mechanisms within the tourism sector (Sheldon &amp; Tosun, 2018). By examining the interplay between formal institutions (e.g., tax laws) and informal institutions (e.g., social norms), researchers have identified avenues for enhancing tax transparency, fairness, and accountability in tourism destinations (Nunkoo &amp; Ramkissoon, 2021).</w:t>
      </w:r>
    </w:p>
    <w:p w14:paraId="72E4FC4E" w14:textId="77777777" w:rsidR="00D1502E" w:rsidRPr="00D1502E" w:rsidRDefault="00D1502E" w:rsidP="00D1502E">
      <w:pPr>
        <w:pBdr>
          <w:top w:val="nil"/>
          <w:left w:val="nil"/>
          <w:bottom w:val="nil"/>
          <w:right w:val="nil"/>
          <w:between w:val="nil"/>
        </w:pBdr>
        <w:spacing w:after="0" w:line="240" w:lineRule="auto"/>
        <w:ind w:left="1260" w:firstLine="270"/>
        <w:jc w:val="both"/>
        <w:rPr>
          <w:rFonts w:ascii="EB Garamond" w:eastAsia="EB Garamond" w:hAnsi="EB Garamond" w:cs="EB Garamond"/>
          <w:color w:val="000000"/>
          <w:sz w:val="20"/>
          <w:szCs w:val="20"/>
        </w:rPr>
      </w:pPr>
      <w:r w:rsidRPr="00D1502E">
        <w:rPr>
          <w:rFonts w:ascii="EB Garamond" w:eastAsia="EB Garamond" w:hAnsi="EB Garamond" w:cs="EB Garamond"/>
          <w:color w:val="000000"/>
          <w:sz w:val="20"/>
          <w:szCs w:val="20"/>
        </w:rPr>
        <w:t>Incorporating insights from these theoretical frameworks, recent research has advanced our understanding of the complex dynamics shaping taxation and financial performance in the tourism industry. By integrating empirical evidence with theoretical perspectives, scholars have contributed to debates on tax policy reform, destination competitiveness, and sustainable tourism development (Pikkemaat et al., 2022). Moving forward, interdisciplinary approaches that bridge economics, sociology, and political science will be essential for addressing emerging challenges and opportunities in tourism taxation research.</w:t>
      </w:r>
    </w:p>
    <w:p w14:paraId="55B01E7E" w14:textId="77777777" w:rsidR="00D1502E" w:rsidRPr="00D1502E" w:rsidRDefault="00D1502E" w:rsidP="00D1502E">
      <w:pPr>
        <w:pBdr>
          <w:top w:val="nil"/>
          <w:left w:val="nil"/>
          <w:bottom w:val="nil"/>
          <w:right w:val="nil"/>
          <w:between w:val="nil"/>
        </w:pBdr>
        <w:spacing w:after="0" w:line="240" w:lineRule="auto"/>
        <w:ind w:left="1260" w:firstLine="270"/>
        <w:jc w:val="both"/>
        <w:rPr>
          <w:rFonts w:ascii="EB Garamond" w:eastAsia="EB Garamond" w:hAnsi="EB Garamond" w:cs="EB Garamond"/>
          <w:color w:val="000000"/>
          <w:sz w:val="20"/>
          <w:szCs w:val="20"/>
        </w:rPr>
      </w:pPr>
    </w:p>
    <w:p w14:paraId="608E9FD0" w14:textId="4B3852EE" w:rsidR="00D1502E" w:rsidRPr="00775758" w:rsidRDefault="00D1502E" w:rsidP="00D1502E">
      <w:pPr>
        <w:pStyle w:val="ListParagraph"/>
        <w:numPr>
          <w:ilvl w:val="1"/>
          <w:numId w:val="13"/>
        </w:numPr>
        <w:pBdr>
          <w:top w:val="nil"/>
          <w:left w:val="nil"/>
          <w:bottom w:val="nil"/>
          <w:right w:val="nil"/>
          <w:between w:val="nil"/>
        </w:pBdr>
        <w:spacing w:after="0" w:line="240" w:lineRule="auto"/>
        <w:ind w:left="1530"/>
        <w:jc w:val="both"/>
        <w:rPr>
          <w:rFonts w:ascii="Corbel" w:eastAsia="Corbel" w:hAnsi="Corbel" w:cs="Corbel"/>
          <w:bCs/>
          <w:i/>
          <w:iCs/>
          <w:color w:val="7B3F00"/>
          <w:sz w:val="20"/>
          <w:szCs w:val="20"/>
          <w:lang w:eastAsia="id-ID"/>
        </w:rPr>
      </w:pPr>
      <w:r w:rsidRPr="00775758">
        <w:rPr>
          <w:rFonts w:ascii="Corbel" w:eastAsia="Corbel" w:hAnsi="Corbel" w:cs="Corbel"/>
          <w:bCs/>
          <w:i/>
          <w:iCs/>
          <w:color w:val="7B3F00"/>
          <w:sz w:val="20"/>
          <w:szCs w:val="20"/>
          <w:lang w:eastAsia="id-ID"/>
        </w:rPr>
        <w:t>Specific Explanations</w:t>
      </w:r>
    </w:p>
    <w:p w14:paraId="5A95D8CF" w14:textId="77777777" w:rsidR="00D1502E" w:rsidRPr="00D1502E" w:rsidRDefault="00D1502E" w:rsidP="00D1502E">
      <w:pPr>
        <w:pBdr>
          <w:top w:val="nil"/>
          <w:left w:val="nil"/>
          <w:bottom w:val="nil"/>
          <w:right w:val="nil"/>
          <w:between w:val="nil"/>
        </w:pBdr>
        <w:spacing w:after="0" w:line="240" w:lineRule="auto"/>
        <w:ind w:left="1260" w:firstLine="270"/>
        <w:jc w:val="both"/>
        <w:rPr>
          <w:rFonts w:ascii="EB Garamond" w:eastAsia="EB Garamond" w:hAnsi="EB Garamond" w:cs="EB Garamond"/>
          <w:color w:val="000000"/>
          <w:sz w:val="20"/>
          <w:szCs w:val="20"/>
        </w:rPr>
      </w:pPr>
    </w:p>
    <w:p w14:paraId="41AB6CC5" w14:textId="77777777" w:rsidR="00D1502E" w:rsidRPr="00D1502E" w:rsidRDefault="00D1502E" w:rsidP="00D1502E">
      <w:pPr>
        <w:pBdr>
          <w:top w:val="nil"/>
          <w:left w:val="nil"/>
          <w:bottom w:val="nil"/>
          <w:right w:val="nil"/>
          <w:between w:val="nil"/>
        </w:pBdr>
        <w:spacing w:after="0" w:line="240" w:lineRule="auto"/>
        <w:ind w:left="1260" w:firstLine="270"/>
        <w:jc w:val="both"/>
        <w:rPr>
          <w:rFonts w:ascii="EB Garamond" w:eastAsia="EB Garamond" w:hAnsi="EB Garamond" w:cs="EB Garamond"/>
          <w:color w:val="000000"/>
          <w:sz w:val="20"/>
          <w:szCs w:val="20"/>
        </w:rPr>
      </w:pPr>
      <w:r w:rsidRPr="00D1502E">
        <w:rPr>
          <w:rFonts w:ascii="EB Garamond" w:eastAsia="EB Garamond" w:hAnsi="EB Garamond" w:cs="EB Garamond"/>
          <w:color w:val="000000"/>
          <w:sz w:val="20"/>
          <w:szCs w:val="20"/>
        </w:rPr>
        <w:t>Recent research continues to advance our understanding of the nuanced relationship between taxation policies and financial performance in the dynamic context of the tourism sector. Building upon earlier studies, recent investigations have provided fresh insights into specific aspects of taxation and their implications for tourism businesses and destinations. One notable area of inquiry revolves around the effects of tourist taxes on destination competitiveness and visitor spending, as highlighted by Guillet and Jamal (2014). Recent studies have delved deeper into this topic, examining how variations in tourist tax rates and structures impact destination choice, tourist behavior, and destination revenue streams (Kim et al., 2021). For example, research by Wang and Kim (2023) explores the differential effects of destination taxes on tourist perceptions of value and satisfaction, shedding light on the intricate interplay between taxation, destination quality, and visitor expenditure patterns.</w:t>
      </w:r>
    </w:p>
    <w:p w14:paraId="687886CC" w14:textId="77777777" w:rsidR="00D1502E" w:rsidRPr="00D1502E" w:rsidRDefault="00D1502E" w:rsidP="00D1502E">
      <w:pPr>
        <w:pBdr>
          <w:top w:val="nil"/>
          <w:left w:val="nil"/>
          <w:bottom w:val="nil"/>
          <w:right w:val="nil"/>
          <w:between w:val="nil"/>
        </w:pBdr>
        <w:spacing w:after="0" w:line="240" w:lineRule="auto"/>
        <w:ind w:left="1260" w:firstLine="270"/>
        <w:jc w:val="both"/>
        <w:rPr>
          <w:rFonts w:ascii="EB Garamond" w:eastAsia="EB Garamond" w:hAnsi="EB Garamond" w:cs="EB Garamond"/>
          <w:color w:val="000000"/>
          <w:sz w:val="20"/>
          <w:szCs w:val="20"/>
        </w:rPr>
      </w:pPr>
      <w:r w:rsidRPr="00D1502E">
        <w:rPr>
          <w:rFonts w:ascii="EB Garamond" w:eastAsia="EB Garamond" w:hAnsi="EB Garamond" w:cs="EB Garamond"/>
          <w:color w:val="000000"/>
          <w:sz w:val="20"/>
          <w:szCs w:val="20"/>
        </w:rPr>
        <w:t>Additionally, recent research has expanded our understanding of the relationship between value-added tax (VAT) rates and tourism demand elasticity, offering insights into pricing strategies and revenue management practices (O'Connor et al., 2012). Emerging studies have explored how changes in VAT rates, both domestically and internationally, influence tourism demand dynamics and consumer behavior (Zhang et al., 2022). By employing advanced econometric techniques and big data analytics, researchers have uncovered nonlinear relationships between VAT rates and tourist expenditure patterns, challenging conventional assumptions and offering new avenues for policy intervention (Li et al., 2023).</w:t>
      </w:r>
    </w:p>
    <w:p w14:paraId="72D83A04" w14:textId="77777777" w:rsidR="00D1502E" w:rsidRPr="00D1502E" w:rsidRDefault="00D1502E" w:rsidP="00D1502E">
      <w:pPr>
        <w:pBdr>
          <w:top w:val="nil"/>
          <w:left w:val="nil"/>
          <w:bottom w:val="nil"/>
          <w:right w:val="nil"/>
          <w:between w:val="nil"/>
        </w:pBdr>
        <w:spacing w:after="0" w:line="240" w:lineRule="auto"/>
        <w:ind w:left="1260" w:firstLine="270"/>
        <w:jc w:val="both"/>
        <w:rPr>
          <w:rFonts w:ascii="EB Garamond" w:eastAsia="EB Garamond" w:hAnsi="EB Garamond" w:cs="EB Garamond"/>
          <w:color w:val="000000"/>
          <w:sz w:val="20"/>
          <w:szCs w:val="20"/>
        </w:rPr>
      </w:pPr>
      <w:r w:rsidRPr="00D1502E">
        <w:rPr>
          <w:rFonts w:ascii="EB Garamond" w:eastAsia="EB Garamond" w:hAnsi="EB Garamond" w:cs="EB Garamond"/>
          <w:color w:val="000000"/>
          <w:sz w:val="20"/>
          <w:szCs w:val="20"/>
        </w:rPr>
        <w:t xml:space="preserve">Furthermore, recent research has investigated the influence of tax incentives and subsidies on tourism investment and entrepreneurship, recognizing their role in shaping industry dynamics and fostering innovation (Xiang et al., 2020). Studies have examined the effectiveness of various tax incentive schemes, such as tax credits for tourism infrastructure development or tax breaks for small and medium-sized enterprises (SMEs) in the tourism sector (Meng et al., 2021). Moreover, research has explored the impact of government subsidies on tourism entrepreneurship, highlighting their potential to stimulate investment, job creation, and sustainable growth in tourism-dependent communities (Chen &amp; Huang, 2022). Incorporating insights from these recent studies, it becomes evident that taxation policies exert a multifaceted influence on the financial performance and competitiveness of tourism enterprises and destinations. By adopting a holistic approach that considers the interplay between tax regimes, market dynamics, and policy interventions, policymakers, industry stakeholders, </w:t>
      </w:r>
      <w:r w:rsidRPr="00D1502E">
        <w:rPr>
          <w:rFonts w:ascii="EB Garamond" w:eastAsia="EB Garamond" w:hAnsi="EB Garamond" w:cs="EB Garamond"/>
          <w:color w:val="000000"/>
          <w:sz w:val="20"/>
          <w:szCs w:val="20"/>
        </w:rPr>
        <w:lastRenderedPageBreak/>
        <w:t>and researchers can devise strategies to optimize taxation policies and support sustainable tourism development.</w:t>
      </w:r>
    </w:p>
    <w:p w14:paraId="6C369998" w14:textId="77777777" w:rsidR="00D1502E" w:rsidRPr="00D1502E" w:rsidRDefault="00D1502E" w:rsidP="00D1502E">
      <w:pPr>
        <w:pBdr>
          <w:top w:val="nil"/>
          <w:left w:val="nil"/>
          <w:bottom w:val="nil"/>
          <w:right w:val="nil"/>
          <w:between w:val="nil"/>
        </w:pBdr>
        <w:spacing w:after="0" w:line="240" w:lineRule="auto"/>
        <w:ind w:left="1260" w:firstLine="270"/>
        <w:jc w:val="both"/>
        <w:rPr>
          <w:rFonts w:ascii="EB Garamond" w:eastAsia="EB Garamond" w:hAnsi="EB Garamond" w:cs="EB Garamond"/>
          <w:color w:val="000000"/>
          <w:sz w:val="20"/>
          <w:szCs w:val="20"/>
        </w:rPr>
      </w:pPr>
    </w:p>
    <w:p w14:paraId="05AF5D06" w14:textId="77777777" w:rsidR="00D1502E" w:rsidRPr="00775758" w:rsidRDefault="00D1502E" w:rsidP="00D1502E">
      <w:pPr>
        <w:pStyle w:val="ListParagraph"/>
        <w:numPr>
          <w:ilvl w:val="1"/>
          <w:numId w:val="13"/>
        </w:numPr>
        <w:pBdr>
          <w:top w:val="nil"/>
          <w:left w:val="nil"/>
          <w:bottom w:val="nil"/>
          <w:right w:val="nil"/>
          <w:between w:val="nil"/>
        </w:pBdr>
        <w:spacing w:after="0" w:line="240" w:lineRule="auto"/>
        <w:ind w:left="1530"/>
        <w:jc w:val="both"/>
        <w:rPr>
          <w:rFonts w:ascii="Corbel" w:eastAsia="Corbel" w:hAnsi="Corbel" w:cs="Corbel"/>
          <w:bCs/>
          <w:i/>
          <w:iCs/>
          <w:color w:val="7B3F00"/>
          <w:sz w:val="20"/>
          <w:szCs w:val="20"/>
          <w:lang w:eastAsia="id-ID"/>
        </w:rPr>
      </w:pPr>
      <w:r w:rsidRPr="00775758">
        <w:rPr>
          <w:rFonts w:ascii="Corbel" w:eastAsia="Corbel" w:hAnsi="Corbel" w:cs="Corbel"/>
          <w:bCs/>
          <w:i/>
          <w:iCs/>
          <w:color w:val="7B3F00"/>
          <w:sz w:val="20"/>
          <w:szCs w:val="20"/>
          <w:lang w:eastAsia="id-ID"/>
        </w:rPr>
        <w:t>Post-Pandemic Considerations</w:t>
      </w:r>
    </w:p>
    <w:p w14:paraId="33906BF3" w14:textId="77777777" w:rsidR="00D1502E" w:rsidRPr="00D1502E" w:rsidRDefault="00D1502E" w:rsidP="00D1502E">
      <w:pPr>
        <w:pBdr>
          <w:top w:val="nil"/>
          <w:left w:val="nil"/>
          <w:bottom w:val="nil"/>
          <w:right w:val="nil"/>
          <w:between w:val="nil"/>
        </w:pBdr>
        <w:spacing w:after="0" w:line="240" w:lineRule="auto"/>
        <w:ind w:left="1260" w:firstLine="270"/>
        <w:jc w:val="both"/>
        <w:rPr>
          <w:rFonts w:ascii="EB Garamond" w:eastAsia="EB Garamond" w:hAnsi="EB Garamond" w:cs="EB Garamond"/>
          <w:color w:val="000000"/>
          <w:sz w:val="20"/>
          <w:szCs w:val="20"/>
        </w:rPr>
      </w:pPr>
    </w:p>
    <w:p w14:paraId="468A08AB" w14:textId="77777777" w:rsidR="00D1502E" w:rsidRPr="00D1502E" w:rsidRDefault="00D1502E" w:rsidP="00D1502E">
      <w:pPr>
        <w:pBdr>
          <w:top w:val="nil"/>
          <w:left w:val="nil"/>
          <w:bottom w:val="nil"/>
          <w:right w:val="nil"/>
          <w:between w:val="nil"/>
        </w:pBdr>
        <w:spacing w:after="0" w:line="240" w:lineRule="auto"/>
        <w:ind w:left="1260" w:firstLine="270"/>
        <w:jc w:val="both"/>
        <w:rPr>
          <w:rFonts w:ascii="EB Garamond" w:eastAsia="EB Garamond" w:hAnsi="EB Garamond" w:cs="EB Garamond"/>
          <w:color w:val="000000"/>
          <w:sz w:val="20"/>
          <w:szCs w:val="20"/>
        </w:rPr>
      </w:pPr>
      <w:r w:rsidRPr="00D1502E">
        <w:rPr>
          <w:rFonts w:ascii="EB Garamond" w:eastAsia="EB Garamond" w:hAnsi="EB Garamond" w:cs="EB Garamond"/>
          <w:color w:val="000000"/>
          <w:sz w:val="20"/>
          <w:szCs w:val="20"/>
        </w:rPr>
        <w:t>The COVID-19 pandemic has not only brought unprecedented challenges but has also reshaped the very fabric of the tourism industry, necessitating a comprehensive reevaluation of taxation policies and financial strategies to navigate the evolving landscape. As highlighted by Gössling et al. (2020), the pandemic has inflicted severe adverse effects on tourism revenues, employment, and the overall viability of tourism businesses worldwide. Recent research has provided further insights into the extent and magnitude of these impacts, revealing the profound disruptions experienced across various tourism sectors, including accommodation, transportation, attractions, and events (Hall et al., 2021). Moreover, studies underscore the importance of targeted fiscal measures in supporting tourism recovery efforts and mitigating long-term damage inflicted by the pandemic (Gössling et al., 2021). Recent research has elucidated the efficacy of different fiscal interventions, ranging from tax relief and financial assistance to sector-specific stimulus packages and recovery funds (Hassan &amp; Sheng, 2022). For instance, empirical evidence suggests that temporary tax exemptions or reductions on hospitality-related taxes, such as accommodation taxes and value-added taxes, can alleviate financial burdens on tourism businesses and stimulate consumer demand (Schuster et al., 2023).</w:t>
      </w:r>
    </w:p>
    <w:p w14:paraId="387B5539" w14:textId="77777777" w:rsidR="00D1502E" w:rsidRPr="00D1502E" w:rsidRDefault="00D1502E" w:rsidP="00D1502E">
      <w:pPr>
        <w:pBdr>
          <w:top w:val="nil"/>
          <w:left w:val="nil"/>
          <w:bottom w:val="nil"/>
          <w:right w:val="nil"/>
          <w:between w:val="nil"/>
        </w:pBdr>
        <w:spacing w:after="0" w:line="240" w:lineRule="auto"/>
        <w:ind w:left="1260" w:firstLine="270"/>
        <w:jc w:val="both"/>
        <w:rPr>
          <w:rFonts w:ascii="EB Garamond" w:eastAsia="EB Garamond" w:hAnsi="EB Garamond" w:cs="EB Garamond"/>
          <w:color w:val="000000"/>
          <w:sz w:val="20"/>
          <w:szCs w:val="20"/>
        </w:rPr>
      </w:pPr>
      <w:r w:rsidRPr="00D1502E">
        <w:rPr>
          <w:rFonts w:ascii="EB Garamond" w:eastAsia="EB Garamond" w:hAnsi="EB Garamond" w:cs="EB Garamond"/>
          <w:color w:val="000000"/>
          <w:sz w:val="20"/>
          <w:szCs w:val="20"/>
        </w:rPr>
        <w:t>Furthermore, recent studies have highlighted the role of taxation policies in fostering resilience and sustainability within the tourism industry in the post-pandemic era. Research by Jamal et al. (2022) explores how adaptive taxation frameworks can incentivize investments in health and safety protocols, environmental sustainability, and community resilience, thereby enhancing destination competitiveness and long-term viability. By aligning taxation policies with broader policy objectives, such as sustainable development goals and climate change mitigation strategies, governments can leverage fiscal instruments to drive transformative change and build back better (Han et al., 2021).</w:t>
      </w:r>
    </w:p>
    <w:p w14:paraId="5F86AB6A" w14:textId="6E814206" w:rsidR="006D7633" w:rsidRDefault="00D1502E" w:rsidP="00D1502E">
      <w:pPr>
        <w:pBdr>
          <w:top w:val="nil"/>
          <w:left w:val="nil"/>
          <w:bottom w:val="nil"/>
          <w:right w:val="nil"/>
          <w:between w:val="nil"/>
        </w:pBdr>
        <w:spacing w:after="0" w:line="240" w:lineRule="auto"/>
        <w:ind w:left="1260" w:firstLine="270"/>
        <w:jc w:val="both"/>
        <w:rPr>
          <w:rFonts w:ascii="EB Garamond" w:eastAsia="EB Garamond" w:hAnsi="EB Garamond" w:cs="EB Garamond"/>
          <w:color w:val="000000"/>
          <w:sz w:val="20"/>
          <w:szCs w:val="20"/>
        </w:rPr>
      </w:pPr>
      <w:r w:rsidRPr="00D1502E">
        <w:rPr>
          <w:rFonts w:ascii="EB Garamond" w:eastAsia="EB Garamond" w:hAnsi="EB Garamond" w:cs="EB Garamond"/>
          <w:color w:val="000000"/>
          <w:sz w:val="20"/>
          <w:szCs w:val="20"/>
        </w:rPr>
        <w:t>Additionally, recent research has emphasized the importance of international cooperation and coordination in addressing taxation challenges in the tourism sector amidst the ongoing pandemic. Studies have examined the implications of divergent taxation policies and regulatory frameworks across countries, highlighting the need for harmonization and standardization to facilitate seamless travel and tourism operations (Gössling &amp; Scott, 2022). By fostering collaboration among governments, international organizations, and industry stakeholders, policymakers can streamline tax procedures, enhance transparency, and promote fair competition, thereby fostering a conducive environment for tourism recovery and sustainable growth. The COVID-19 pandemic has underscored the critical importance of taxation policies and financial strategies in supporting the resilience and recovery of the tourism industry. By drawing upon insights from recent research and leveraging innovative fiscal measures, governments and industry stakeholders can navigate the complexities of the post-pandemic landscape, foster sustainable development, and build a more resilient and inclusive tourism sector for the future.</w:t>
      </w:r>
    </w:p>
    <w:p w14:paraId="4C6AE1F1" w14:textId="77777777" w:rsidR="006D7633" w:rsidRDefault="006D7633">
      <w:pPr>
        <w:pBdr>
          <w:top w:val="nil"/>
          <w:left w:val="nil"/>
          <w:bottom w:val="nil"/>
          <w:right w:val="nil"/>
          <w:between w:val="nil"/>
        </w:pBdr>
        <w:spacing w:after="0" w:line="240" w:lineRule="auto"/>
        <w:ind w:left="2835" w:hanging="425"/>
        <w:jc w:val="both"/>
        <w:rPr>
          <w:rFonts w:ascii="EB Garamond" w:eastAsia="EB Garamond" w:hAnsi="EB Garamond" w:cs="EB Garamond"/>
          <w:color w:val="000000"/>
          <w:sz w:val="20"/>
          <w:szCs w:val="20"/>
        </w:rPr>
      </w:pPr>
    </w:p>
    <w:p w14:paraId="3B6AABA0" w14:textId="1DCA3D29" w:rsidR="006D7633" w:rsidRPr="00FF2A67" w:rsidRDefault="00775758">
      <w:pPr>
        <w:numPr>
          <w:ilvl w:val="0"/>
          <w:numId w:val="13"/>
        </w:numPr>
        <w:pBdr>
          <w:top w:val="nil"/>
          <w:left w:val="nil"/>
          <w:bottom w:val="nil"/>
          <w:right w:val="nil"/>
          <w:between w:val="nil"/>
        </w:pBdr>
        <w:spacing w:after="0" w:line="240" w:lineRule="auto"/>
        <w:ind w:left="1560"/>
        <w:jc w:val="both"/>
        <w:rPr>
          <w:rFonts w:ascii="Corbel" w:eastAsia="Corbel" w:hAnsi="Corbel" w:cs="Corbel"/>
          <w:b/>
          <w:color w:val="7B3F00"/>
        </w:rPr>
      </w:pPr>
      <w:r w:rsidRPr="00FF2A67">
        <w:rPr>
          <w:b/>
          <w:color w:val="7B3F00"/>
        </w:rPr>
        <w:t>RESEARCH METHOD AND MATERIALS</w:t>
      </w:r>
      <w:r w:rsidRPr="00FF2A67">
        <w:rPr>
          <w:rFonts w:ascii="Corbel" w:eastAsia="Corbel" w:hAnsi="Corbel" w:cs="Corbel"/>
          <w:b/>
          <w:color w:val="7B3F00"/>
        </w:rPr>
        <w:t xml:space="preserve"> </w:t>
      </w:r>
    </w:p>
    <w:p w14:paraId="0646E123" w14:textId="77777777" w:rsidR="006D7633" w:rsidRPr="00FF2A67" w:rsidRDefault="006D7633">
      <w:pPr>
        <w:pBdr>
          <w:top w:val="nil"/>
          <w:left w:val="nil"/>
          <w:bottom w:val="nil"/>
          <w:right w:val="nil"/>
          <w:between w:val="nil"/>
        </w:pBdr>
        <w:spacing w:after="0" w:line="240" w:lineRule="auto"/>
        <w:ind w:left="2410" w:firstLine="283"/>
        <w:jc w:val="both"/>
        <w:rPr>
          <w:rFonts w:ascii="EB Garamond" w:eastAsia="EB Garamond" w:hAnsi="EB Garamond" w:cs="EB Garamond"/>
          <w:color w:val="7B3F00"/>
          <w:sz w:val="18"/>
          <w:szCs w:val="18"/>
        </w:rPr>
      </w:pPr>
    </w:p>
    <w:p w14:paraId="499DA794" w14:textId="77777777" w:rsidR="00D1502E" w:rsidRPr="00D1502E" w:rsidRDefault="00D1502E" w:rsidP="00D1502E">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r w:rsidRPr="00D1502E">
        <w:rPr>
          <w:rFonts w:ascii="EB Garamond" w:eastAsia="EB Garamond" w:hAnsi="EB Garamond" w:cs="EB Garamond"/>
          <w:color w:val="000000"/>
          <w:sz w:val="20"/>
          <w:szCs w:val="20"/>
        </w:rPr>
        <w:t>In conducting a qualitative research study focused on literature review, the aim is to systematically analyze and synthesize existing literature to gain deeper insights into the chosen topic. This section outlines the research methodology employed for the qualitative study of literature on taxation policies and financial performance in the tourism industry. The methodology encompasses various stages, including research design, data collection, data analysis, and ethical considerations.</w:t>
      </w:r>
    </w:p>
    <w:p w14:paraId="4032C6B0" w14:textId="77777777" w:rsidR="00D1502E" w:rsidRPr="00D1502E" w:rsidRDefault="00D1502E" w:rsidP="00D1502E">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p>
    <w:p w14:paraId="76FD1351" w14:textId="77777777" w:rsidR="00D1502E" w:rsidRPr="00775758" w:rsidRDefault="00D1502E" w:rsidP="00D1502E">
      <w:pPr>
        <w:pStyle w:val="ListParagraph"/>
        <w:numPr>
          <w:ilvl w:val="1"/>
          <w:numId w:val="13"/>
        </w:numPr>
        <w:pBdr>
          <w:top w:val="nil"/>
          <w:left w:val="nil"/>
          <w:bottom w:val="nil"/>
          <w:right w:val="nil"/>
          <w:between w:val="nil"/>
        </w:pBdr>
        <w:spacing w:after="0" w:line="240" w:lineRule="auto"/>
        <w:ind w:left="1530"/>
        <w:jc w:val="both"/>
        <w:rPr>
          <w:rFonts w:ascii="Corbel" w:eastAsia="Corbel" w:hAnsi="Corbel" w:cs="Corbel"/>
          <w:bCs/>
          <w:i/>
          <w:iCs/>
          <w:color w:val="7B3F00"/>
          <w:sz w:val="20"/>
          <w:szCs w:val="20"/>
          <w:lang w:eastAsia="id-ID"/>
        </w:rPr>
      </w:pPr>
      <w:r w:rsidRPr="00775758">
        <w:rPr>
          <w:rFonts w:ascii="Corbel" w:eastAsia="Corbel" w:hAnsi="Corbel" w:cs="Corbel"/>
          <w:bCs/>
          <w:i/>
          <w:iCs/>
          <w:color w:val="7B3F00"/>
          <w:sz w:val="20"/>
          <w:szCs w:val="20"/>
          <w:lang w:eastAsia="id-ID"/>
        </w:rPr>
        <w:t>Research Design</w:t>
      </w:r>
    </w:p>
    <w:p w14:paraId="65DB1245" w14:textId="77777777" w:rsidR="00D1502E" w:rsidRPr="00D1502E" w:rsidRDefault="00D1502E" w:rsidP="00D1502E">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p>
    <w:p w14:paraId="2058C70C" w14:textId="77777777" w:rsidR="00D1502E" w:rsidRPr="00D1502E" w:rsidRDefault="00D1502E" w:rsidP="00D1502E">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r w:rsidRPr="00D1502E">
        <w:rPr>
          <w:rFonts w:ascii="EB Garamond" w:eastAsia="EB Garamond" w:hAnsi="EB Garamond" w:cs="EB Garamond"/>
          <w:color w:val="000000"/>
          <w:sz w:val="20"/>
          <w:szCs w:val="20"/>
        </w:rPr>
        <w:t xml:space="preserve">The research design for this qualitative literature review involves a systematic and comprehensive approach to identify, evaluate, and synthesize relevant literature. The study adopts a systematic review </w:t>
      </w:r>
      <w:r w:rsidRPr="00D1502E">
        <w:rPr>
          <w:rFonts w:ascii="EB Garamond" w:eastAsia="EB Garamond" w:hAnsi="EB Garamond" w:cs="EB Garamond"/>
          <w:color w:val="000000"/>
          <w:sz w:val="20"/>
          <w:szCs w:val="20"/>
        </w:rPr>
        <w:lastRenderedPageBreak/>
        <w:t>methodology to ensure rigor and transparency in the selection and analysis of literature. Systematic review methods involve predefined search strategies, inclusion and exclusion criteria, and transparent reporting standards (Petticrew &amp; Roberts, 2006).</w:t>
      </w:r>
    </w:p>
    <w:p w14:paraId="08D8D302" w14:textId="77777777" w:rsidR="00D1502E" w:rsidRPr="00D1502E" w:rsidRDefault="00D1502E" w:rsidP="00D1502E">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p>
    <w:p w14:paraId="01239752" w14:textId="77777777" w:rsidR="00D1502E" w:rsidRPr="00775758" w:rsidRDefault="00D1502E" w:rsidP="00D1502E">
      <w:pPr>
        <w:pStyle w:val="ListParagraph"/>
        <w:numPr>
          <w:ilvl w:val="1"/>
          <w:numId w:val="13"/>
        </w:numPr>
        <w:pBdr>
          <w:top w:val="nil"/>
          <w:left w:val="nil"/>
          <w:bottom w:val="nil"/>
          <w:right w:val="nil"/>
          <w:between w:val="nil"/>
        </w:pBdr>
        <w:spacing w:after="0" w:line="240" w:lineRule="auto"/>
        <w:ind w:left="1530"/>
        <w:jc w:val="both"/>
        <w:rPr>
          <w:rFonts w:ascii="Corbel" w:eastAsia="Corbel" w:hAnsi="Corbel" w:cs="Corbel"/>
          <w:bCs/>
          <w:i/>
          <w:iCs/>
          <w:color w:val="7B3F00"/>
          <w:sz w:val="20"/>
          <w:szCs w:val="20"/>
          <w:lang w:eastAsia="id-ID"/>
        </w:rPr>
      </w:pPr>
      <w:r w:rsidRPr="00775758">
        <w:rPr>
          <w:rFonts w:ascii="Corbel" w:eastAsia="Corbel" w:hAnsi="Corbel" w:cs="Corbel"/>
          <w:bCs/>
          <w:i/>
          <w:iCs/>
          <w:color w:val="7B3F00"/>
          <w:sz w:val="20"/>
          <w:szCs w:val="20"/>
          <w:lang w:eastAsia="id-ID"/>
        </w:rPr>
        <w:t>Data Collection</w:t>
      </w:r>
    </w:p>
    <w:p w14:paraId="4D70E2FB" w14:textId="77777777" w:rsidR="00D1502E" w:rsidRPr="00D1502E" w:rsidRDefault="00D1502E" w:rsidP="00D1502E">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p>
    <w:p w14:paraId="7EC087E1" w14:textId="77777777" w:rsidR="00D1502E" w:rsidRPr="00D1502E" w:rsidRDefault="00D1502E" w:rsidP="00D1502E">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r w:rsidRPr="00D1502E">
        <w:rPr>
          <w:rFonts w:ascii="EB Garamond" w:eastAsia="EB Garamond" w:hAnsi="EB Garamond" w:cs="EB Garamond"/>
          <w:color w:val="000000"/>
          <w:sz w:val="20"/>
          <w:szCs w:val="20"/>
        </w:rPr>
        <w:t>The primary data collection method for this qualitative study involves the systematic identification and retrieval of relevant literature from academic databases, scholarly journals, books, conference proceedings, and other reputable sources. The search strategy is designed to capture a comprehensive range of literature relevant to the research topic, including empirical studies, theoretical frameworks, conceptual models, and case studies. To ensure the comprehensiveness of the literature search, multiple academic databases such as PubMed, Scopus, Web of Science, and Google Scholar are utilized. The search strategy incorporates a combination of keywords, Boolean operators, and search filters tailored to the specific research focus. The inclusion criteria for selecting literature include relevance to the topic, currency, academic rigor, and methodological appropriateness.</w:t>
      </w:r>
    </w:p>
    <w:p w14:paraId="3B29C018" w14:textId="77777777" w:rsidR="00D1502E" w:rsidRPr="00D1502E" w:rsidRDefault="00D1502E" w:rsidP="00D1502E">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p>
    <w:p w14:paraId="4BBB2E36" w14:textId="77777777" w:rsidR="00D1502E" w:rsidRPr="00775758" w:rsidRDefault="00D1502E" w:rsidP="00D1502E">
      <w:pPr>
        <w:pStyle w:val="ListParagraph"/>
        <w:numPr>
          <w:ilvl w:val="1"/>
          <w:numId w:val="13"/>
        </w:numPr>
        <w:pBdr>
          <w:top w:val="nil"/>
          <w:left w:val="nil"/>
          <w:bottom w:val="nil"/>
          <w:right w:val="nil"/>
          <w:between w:val="nil"/>
        </w:pBdr>
        <w:spacing w:after="0" w:line="240" w:lineRule="auto"/>
        <w:ind w:left="1530"/>
        <w:jc w:val="both"/>
        <w:rPr>
          <w:rFonts w:ascii="Corbel" w:eastAsia="Corbel" w:hAnsi="Corbel" w:cs="Corbel"/>
          <w:bCs/>
          <w:i/>
          <w:iCs/>
          <w:color w:val="7B3F00"/>
          <w:sz w:val="20"/>
          <w:szCs w:val="20"/>
          <w:lang w:eastAsia="id-ID"/>
        </w:rPr>
      </w:pPr>
      <w:r w:rsidRPr="00775758">
        <w:rPr>
          <w:rFonts w:ascii="Corbel" w:eastAsia="Corbel" w:hAnsi="Corbel" w:cs="Corbel"/>
          <w:bCs/>
          <w:i/>
          <w:iCs/>
          <w:color w:val="7B3F00"/>
          <w:sz w:val="20"/>
          <w:szCs w:val="20"/>
          <w:lang w:eastAsia="id-ID"/>
        </w:rPr>
        <w:t>Data Analysis</w:t>
      </w:r>
    </w:p>
    <w:p w14:paraId="66E8B11F" w14:textId="77777777" w:rsidR="00D1502E" w:rsidRPr="00D1502E" w:rsidRDefault="00D1502E" w:rsidP="00D1502E">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p>
    <w:p w14:paraId="07DFD47F" w14:textId="77777777" w:rsidR="00D1502E" w:rsidRPr="00D1502E" w:rsidRDefault="00D1502E" w:rsidP="00D1502E">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r w:rsidRPr="00D1502E">
        <w:rPr>
          <w:rFonts w:ascii="EB Garamond" w:eastAsia="EB Garamond" w:hAnsi="EB Garamond" w:cs="EB Garamond"/>
          <w:color w:val="000000"/>
          <w:sz w:val="20"/>
          <w:szCs w:val="20"/>
        </w:rPr>
        <w:t>The data analysis process involves systematic coding, categorization, and synthesis of information extracted from the selected literature. The qualitative analysis follows established procedures such as thematic analysis, content analysis, and narrative synthesis (Thomas &amp; Harden, 2008). Themes and patterns emerging from the literature are identified and organized to address research objectives and research questions. The analysis involves iterative cycles of reading, coding, and interpretation to deepen understanding and ensure rigor in the synthesis of findings. Data management software such as NVivo or Atlas.ti may be utilized to facilitate the organization and analysis of large volumes of literature.</w:t>
      </w:r>
    </w:p>
    <w:p w14:paraId="30E7C4A2" w14:textId="77777777" w:rsidR="00D1502E" w:rsidRPr="00D1502E" w:rsidRDefault="00D1502E" w:rsidP="00D1502E">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p>
    <w:p w14:paraId="466F530B" w14:textId="77777777" w:rsidR="00D1502E" w:rsidRPr="00775758" w:rsidRDefault="00D1502E" w:rsidP="00D1502E">
      <w:pPr>
        <w:pStyle w:val="ListParagraph"/>
        <w:numPr>
          <w:ilvl w:val="1"/>
          <w:numId w:val="13"/>
        </w:numPr>
        <w:pBdr>
          <w:top w:val="nil"/>
          <w:left w:val="nil"/>
          <w:bottom w:val="nil"/>
          <w:right w:val="nil"/>
          <w:between w:val="nil"/>
        </w:pBdr>
        <w:spacing w:after="0" w:line="240" w:lineRule="auto"/>
        <w:ind w:left="1530"/>
        <w:jc w:val="both"/>
        <w:rPr>
          <w:rFonts w:ascii="EB Garamond" w:eastAsia="EB Garamond" w:hAnsi="EB Garamond" w:cs="EB Garamond"/>
          <w:color w:val="000000"/>
          <w:sz w:val="18"/>
          <w:szCs w:val="18"/>
        </w:rPr>
      </w:pPr>
      <w:r w:rsidRPr="00775758">
        <w:rPr>
          <w:rFonts w:ascii="Corbel" w:eastAsia="Corbel" w:hAnsi="Corbel" w:cs="Corbel"/>
          <w:bCs/>
          <w:i/>
          <w:iCs/>
          <w:color w:val="7B3F00"/>
          <w:sz w:val="20"/>
          <w:szCs w:val="20"/>
          <w:lang w:eastAsia="id-ID"/>
        </w:rPr>
        <w:t>Ethical Considerations</w:t>
      </w:r>
    </w:p>
    <w:p w14:paraId="37D19ED2" w14:textId="77777777" w:rsidR="00D1502E" w:rsidRPr="00D1502E" w:rsidRDefault="00D1502E" w:rsidP="00D1502E">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p>
    <w:p w14:paraId="5302B983" w14:textId="7FC69F40" w:rsidR="00D3538A" w:rsidRDefault="00D1502E" w:rsidP="00D1502E">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18"/>
          <w:szCs w:val="18"/>
        </w:rPr>
      </w:pPr>
      <w:r w:rsidRPr="00D1502E">
        <w:rPr>
          <w:rFonts w:ascii="EB Garamond" w:eastAsia="EB Garamond" w:hAnsi="EB Garamond" w:cs="EB Garamond"/>
          <w:color w:val="000000"/>
          <w:sz w:val="20"/>
          <w:szCs w:val="20"/>
        </w:rPr>
        <w:t>Ethical considerations are paramount in conducting qualitative research, including literature review. The study adheres to ethical principles such as integrity, confidentiality, and respect for intellectual property rights. Proper citation and acknowledgment of sources are essential to avoid plagiarism and uphold academic integrity. Additionally, the research prioritizes transparency and accountability in reporting methods, findings, and interpretations. Any potential conflicts of interest or biases are disclosed to maintain credibility and trustworthiness in the research process. The qualitative research methodology employed for this literature review study adopts a systematic approach to identify, evaluate, and synthesize existing literature on taxation policies and financial performance in the tourism industry. By following rigorous research design principles, data collection methods, and ethical considerations, the study aims to generate valuable insights and contribute to scholarly understanding in the field.</w:t>
      </w:r>
    </w:p>
    <w:p w14:paraId="2A93B7D9" w14:textId="77777777" w:rsidR="00D3538A" w:rsidRDefault="00D3538A" w:rsidP="00D3538A">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p>
    <w:p w14:paraId="0000D0D5" w14:textId="5FF6AAAF" w:rsidR="006D7633" w:rsidRPr="00FF2A67" w:rsidRDefault="00775758">
      <w:pPr>
        <w:numPr>
          <w:ilvl w:val="0"/>
          <w:numId w:val="13"/>
        </w:numPr>
        <w:pBdr>
          <w:top w:val="nil"/>
          <w:left w:val="nil"/>
          <w:bottom w:val="nil"/>
          <w:right w:val="nil"/>
          <w:between w:val="nil"/>
        </w:pBdr>
        <w:spacing w:after="0" w:line="240" w:lineRule="auto"/>
        <w:ind w:left="1560"/>
        <w:jc w:val="both"/>
        <w:rPr>
          <w:color w:val="7B3F00"/>
        </w:rPr>
      </w:pPr>
      <w:r w:rsidRPr="00FF2A67">
        <w:rPr>
          <w:b/>
          <w:color w:val="7B3F00"/>
        </w:rPr>
        <w:t xml:space="preserve">RESULTS AND DISCUSSION </w:t>
      </w:r>
    </w:p>
    <w:p w14:paraId="3A583C6B" w14:textId="77777777" w:rsidR="006D7633" w:rsidRDefault="006D7633">
      <w:pPr>
        <w:spacing w:after="0" w:line="240" w:lineRule="auto"/>
        <w:ind w:left="2410"/>
        <w:jc w:val="both"/>
        <w:rPr>
          <w:rFonts w:ascii="EB Garamond" w:eastAsia="EB Garamond" w:hAnsi="EB Garamond" w:cs="EB Garamond"/>
          <w:color w:val="000000"/>
          <w:sz w:val="18"/>
          <w:szCs w:val="18"/>
        </w:rPr>
      </w:pPr>
    </w:p>
    <w:p w14:paraId="523A2BFD" w14:textId="77777777" w:rsidR="00B41DAA" w:rsidRPr="00B41DAA" w:rsidRDefault="00B41DAA" w:rsidP="00B41DAA">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r w:rsidRPr="00B41DAA">
        <w:rPr>
          <w:rFonts w:ascii="EB Garamond" w:eastAsia="EB Garamond" w:hAnsi="EB Garamond" w:cs="EB Garamond"/>
          <w:color w:val="000000"/>
          <w:sz w:val="20"/>
          <w:szCs w:val="20"/>
        </w:rPr>
        <w:t>The COVID-19 pandemic has profoundly impacted the global tourism industry, necessitating a reevaluation of taxation policies and financial strategies to support recovery and sustainable growth in the post-pandemic era. This section presents the results and discussions derived from the qualitative literature review on taxation policies and financial performance in the tourism industry post-pandemic, focusing on key findings, implications, and avenues for future research.</w:t>
      </w:r>
    </w:p>
    <w:p w14:paraId="1CB67B67" w14:textId="77777777" w:rsidR="00B41DAA" w:rsidRPr="00B41DAA" w:rsidRDefault="00B41DAA" w:rsidP="00B41DAA">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p>
    <w:p w14:paraId="1FA8E6E0" w14:textId="77777777" w:rsidR="00B41DAA" w:rsidRPr="00775758" w:rsidRDefault="00B41DAA" w:rsidP="00B41DAA">
      <w:pPr>
        <w:pStyle w:val="ListParagraph"/>
        <w:numPr>
          <w:ilvl w:val="1"/>
          <w:numId w:val="13"/>
        </w:numPr>
        <w:pBdr>
          <w:top w:val="nil"/>
          <w:left w:val="nil"/>
          <w:bottom w:val="nil"/>
          <w:right w:val="nil"/>
          <w:between w:val="nil"/>
        </w:pBdr>
        <w:spacing w:after="0" w:line="240" w:lineRule="auto"/>
        <w:ind w:left="1530"/>
        <w:jc w:val="both"/>
        <w:rPr>
          <w:rFonts w:ascii="EB Garamond" w:eastAsia="EB Garamond" w:hAnsi="EB Garamond" w:cs="EB Garamond"/>
          <w:color w:val="000000"/>
          <w:sz w:val="18"/>
          <w:szCs w:val="18"/>
        </w:rPr>
      </w:pPr>
      <w:r w:rsidRPr="00775758">
        <w:rPr>
          <w:rFonts w:ascii="Corbel" w:eastAsia="Corbel" w:hAnsi="Corbel" w:cs="Corbel"/>
          <w:bCs/>
          <w:i/>
          <w:iCs/>
          <w:color w:val="7B3F00"/>
          <w:sz w:val="20"/>
          <w:szCs w:val="20"/>
          <w:lang w:eastAsia="id-ID"/>
        </w:rPr>
        <w:t>Impact of the Pandemic on Tourism Financial Performance</w:t>
      </w:r>
    </w:p>
    <w:p w14:paraId="2DADEBA7" w14:textId="77777777" w:rsidR="00B41DAA" w:rsidRPr="00B41DAA" w:rsidRDefault="00B41DAA" w:rsidP="00B41DAA">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p>
    <w:p w14:paraId="04363C10" w14:textId="77777777" w:rsidR="00B41DAA" w:rsidRPr="00B41DAA" w:rsidRDefault="00B41DAA" w:rsidP="00B41DAA">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r w:rsidRPr="00B41DAA">
        <w:rPr>
          <w:rFonts w:ascii="EB Garamond" w:eastAsia="EB Garamond" w:hAnsi="EB Garamond" w:cs="EB Garamond"/>
          <w:color w:val="000000"/>
          <w:sz w:val="20"/>
          <w:szCs w:val="20"/>
        </w:rPr>
        <w:t xml:space="preserve">The COVID-19 pandemic has presented unparalleled challenges to the financial performance of tourism businesses globally, eliciting profound repercussions across various dimensions of the industry. </w:t>
      </w:r>
      <w:r w:rsidRPr="00B41DAA">
        <w:rPr>
          <w:rFonts w:ascii="EB Garamond" w:eastAsia="EB Garamond" w:hAnsi="EB Garamond" w:cs="EB Garamond"/>
          <w:color w:val="000000"/>
          <w:sz w:val="20"/>
          <w:szCs w:val="20"/>
        </w:rPr>
        <w:lastRenderedPageBreak/>
        <w:t>Extensive scholarly literature documents the significant adverse impacts of the pandemic on tourism revenues, occupancy rates, and profitability, attributing these downturns to a confluence of factors such as stringent travel restrictions, border closures, and consumer hesitancy to engage in non-essential travel (Gössling et al., 2020). For instance, research conducted by Gössling and colleagues underscores the severity of the decline in tourism revenues, highlighting the unprecedented scale of economic disruption experienced by tourism businesses worldwide. Moreover, the pandemic-induced disruptions have reverberated throughout the tourism supply chain, exacerbating existing vulnerabilities and amplifying inequalities within the sector. Small and medium-sized enterprises (SMEs) reliant on tourism-related activities have been particularly hard-hit, facing acute financial strain and operational challenges due to prolonged closures, reduced visitor numbers, and uncertainty surrounding future travel patterns (Hassan &amp; Sheng, 2022). Hassan and Sheng's study provides valuable insights into the disproportionate impact of the pandemic on SMEs, emphasizing the need for targeted support measures to bolster their resilience and facilitate recovery.</w:t>
      </w:r>
    </w:p>
    <w:p w14:paraId="2FAAF5D9" w14:textId="77777777" w:rsidR="00B41DAA" w:rsidRPr="00B41DAA" w:rsidRDefault="00B41DAA" w:rsidP="00B41DAA">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r w:rsidRPr="00B41DAA">
        <w:rPr>
          <w:rFonts w:ascii="EB Garamond" w:eastAsia="EB Garamond" w:hAnsi="EB Garamond" w:cs="EB Garamond"/>
          <w:color w:val="000000"/>
          <w:sz w:val="20"/>
          <w:szCs w:val="20"/>
        </w:rPr>
        <w:t>Furthermore, the pandemic has exposed and exacerbated pre-existing structural inequalities within the tourism sector, with marginalized communities and developing countries bearing the brunt of economic losses and social dislocation. Research conducted by the United Nations World Tourism Organization (UNWTO) highlights the unequal distribution of economic impacts, pointing to disparities in access to resources, infrastructure, and support mechanisms among tourism-dependent communities (UNWTO, 2021). This underscores the importance of adopting a multi-dimensional perspective in understanding the differential impacts of the pandemic on various stakeholders within the tourism ecosystem. From an economic perspective, the pandemic-induced downturn in tourism has far-reaching implications for local economies, employment, and livelihoods, particularly in regions heavily reliant on tourism as a primary source of income. Studies indicate a sharp decline in tourism-related employment and income levels, exacerbating poverty and socio-economic inequalities in destination communities (Becken et al., 2021). Becken and colleagues' research sheds light on the socio-economic ramifications of the pandemic, emphasizing the urgent need for targeted interventions to support vulnerable populations and mitigate adverse social outcomes.</w:t>
      </w:r>
    </w:p>
    <w:p w14:paraId="4CA65CF9" w14:textId="77777777" w:rsidR="00B41DAA" w:rsidRPr="00B41DAA" w:rsidRDefault="00B41DAA" w:rsidP="00B41DAA">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r w:rsidRPr="00B41DAA">
        <w:rPr>
          <w:rFonts w:ascii="EB Garamond" w:eastAsia="EB Garamond" w:hAnsi="EB Garamond" w:cs="EB Garamond"/>
          <w:color w:val="000000"/>
          <w:sz w:val="20"/>
          <w:szCs w:val="20"/>
        </w:rPr>
        <w:t>Moreover, the pandemic has prompted a reevaluation of the structural vulnerabilities inherent in the global tourism system, including overreliance on mass tourism, inadequate crisis preparedness, and insufficient diversification of tourism products and markets. Scholars advocate for a paradigm shift towards more sustainable and resilient tourism models, characterized by greater emphasis on community engagement, cultural preservation, and environmental stewardship (Scott &amp; Hall, 2021). Scott and Hall's research underscores the imperative of building back better, fostering sustainable tourism practices that promote long-term resilience and equitable development. In addition to economic and social dimensions, the pandemic has profound cultural and psychological impacts on tourism stakeholders, including residents, tourists, and industry professionals. Research indicates shifts in consumer preferences and behaviors, with an increased emphasis on health, safety, and sustainability in travel decision-making (Sigala et al., 2021). Sigala and colleagues' study highlights the emergence of new travel trends and patterns, underscoring the importance of adapting tourism offerings and marketing strategies to meet evolving consumer demands.</w:t>
      </w:r>
    </w:p>
    <w:p w14:paraId="25499FD0" w14:textId="77777777" w:rsidR="00B41DAA" w:rsidRPr="00B41DAA" w:rsidRDefault="00B41DAA" w:rsidP="00B41DAA">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r w:rsidRPr="00B41DAA">
        <w:rPr>
          <w:rFonts w:ascii="EB Garamond" w:eastAsia="EB Garamond" w:hAnsi="EB Garamond" w:cs="EB Garamond"/>
          <w:color w:val="000000"/>
          <w:sz w:val="20"/>
          <w:szCs w:val="20"/>
        </w:rPr>
        <w:t xml:space="preserve">Furthermore, the pandemic has prompted reflection and innovation within the tourism industry, catalyzing digital transformation, creative adaptation, and collaboration among stakeholders. Research suggests that digital technologies have played a pivotal role in enabling virtual experiences, contactless transactions, and remote work arrangements, thereby reshaping tourism practices and business models (Gretzel et al., 2022). Gretzel and colleagues' study underscores the transformative potential of digitalization in driving tourism recovery and fostering resilience in the face of future crises. Overall, the COVID-19 pandemic has precipitated a seismic upheaval in the global tourism landscape, exposing vulnerabilities, exacerbating inequalities, and prompting reevaluation and adaptation across multiple dimensions. From economic hardships and social dislocation to cultural shifts and technological innovation, the pandemic's impacts are multifaceted and far-reaching, necessitating a comprehensive and multi-perspective approach to understanding and addressing the challenges and opportunities that lie ahead. As the tourism industry navigates the uncertain terrain of the post-pandemic world, </w:t>
      </w:r>
      <w:r w:rsidRPr="00B41DAA">
        <w:rPr>
          <w:rFonts w:ascii="EB Garamond" w:eastAsia="EB Garamond" w:hAnsi="EB Garamond" w:cs="EB Garamond"/>
          <w:color w:val="000000"/>
          <w:sz w:val="20"/>
          <w:szCs w:val="20"/>
        </w:rPr>
        <w:lastRenderedPageBreak/>
        <w:t>interdisciplinary research and collaborative action will be essential in shaping a more resilient, inclusive, and sustainable tourism future.</w:t>
      </w:r>
    </w:p>
    <w:p w14:paraId="1484C2DC" w14:textId="77777777" w:rsidR="00B41DAA" w:rsidRPr="00B41DAA" w:rsidRDefault="00B41DAA" w:rsidP="00B41DAA">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p>
    <w:p w14:paraId="443432A9" w14:textId="77777777" w:rsidR="00B41DAA" w:rsidRPr="00775758" w:rsidRDefault="00B41DAA" w:rsidP="00B41DAA">
      <w:pPr>
        <w:pStyle w:val="ListParagraph"/>
        <w:numPr>
          <w:ilvl w:val="1"/>
          <w:numId w:val="13"/>
        </w:numPr>
        <w:pBdr>
          <w:top w:val="nil"/>
          <w:left w:val="nil"/>
          <w:bottom w:val="nil"/>
          <w:right w:val="nil"/>
          <w:between w:val="nil"/>
        </w:pBdr>
        <w:spacing w:after="0" w:line="240" w:lineRule="auto"/>
        <w:ind w:left="1530"/>
        <w:jc w:val="both"/>
        <w:rPr>
          <w:rFonts w:ascii="Corbel" w:eastAsia="Corbel" w:hAnsi="Corbel" w:cs="Corbel"/>
          <w:bCs/>
          <w:i/>
          <w:iCs/>
          <w:color w:val="7B3F00"/>
          <w:sz w:val="20"/>
          <w:szCs w:val="20"/>
          <w:lang w:eastAsia="id-ID"/>
        </w:rPr>
      </w:pPr>
      <w:r w:rsidRPr="00775758">
        <w:rPr>
          <w:rFonts w:ascii="Corbel" w:eastAsia="Corbel" w:hAnsi="Corbel" w:cs="Corbel"/>
          <w:bCs/>
          <w:i/>
          <w:iCs/>
          <w:color w:val="7B3F00"/>
          <w:sz w:val="20"/>
          <w:szCs w:val="20"/>
          <w:lang w:eastAsia="id-ID"/>
        </w:rPr>
        <w:t>Role of Taxation Policies in Supporting Tourism Recovery</w:t>
      </w:r>
    </w:p>
    <w:p w14:paraId="218854D7" w14:textId="77777777" w:rsidR="00B41DAA" w:rsidRPr="00B41DAA" w:rsidRDefault="00B41DAA" w:rsidP="00B41DAA">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p>
    <w:p w14:paraId="062B6E9C" w14:textId="77777777" w:rsidR="00B41DAA" w:rsidRPr="00B41DAA" w:rsidRDefault="00B41DAA" w:rsidP="00B41DAA">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r w:rsidRPr="00B41DAA">
        <w:rPr>
          <w:rFonts w:ascii="EB Garamond" w:eastAsia="EB Garamond" w:hAnsi="EB Garamond" w:cs="EB Garamond"/>
          <w:color w:val="000000"/>
          <w:sz w:val="20"/>
          <w:szCs w:val="20"/>
        </w:rPr>
        <w:t>(Hassan &amp; Sheng, 2022). Hassan and Sheng's study provides insights into the potential synergies between fiscal policy and private sector initiatives in advancing sustainable tourism development goals. Furthermore, taxation policies have implications for social equity and inclusion within the tourism sector, particularly in terms of distributional impacts and access to benefits. Studies indicate that tax relief measures targeted at SMEs and marginalized communities can help mitigate inequalities and promote inclusive growth in the tourism economy (UNWTO, 2021). UNWTO's research underscores the importance of designing taxation policies that prioritize social welfare considerations, ensuring that vulnerable populations are not disproportionately burdened by tax obligations or excluded from the benefits of tourism development.</w:t>
      </w:r>
    </w:p>
    <w:p w14:paraId="4B3F1A7B" w14:textId="77777777" w:rsidR="00B41DAA" w:rsidRPr="00B41DAA" w:rsidRDefault="00B41DAA" w:rsidP="00B41DAA">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r w:rsidRPr="00B41DAA">
        <w:rPr>
          <w:rFonts w:ascii="EB Garamond" w:eastAsia="EB Garamond" w:hAnsi="EB Garamond" w:cs="EB Garamond"/>
          <w:color w:val="000000"/>
          <w:sz w:val="20"/>
          <w:szCs w:val="20"/>
        </w:rPr>
        <w:t>In addition to economic and social dimensions, taxation policies intersect with environmental sustainability goals, influencing resource allocation, environmental management, and climate change mitigation efforts in the tourism sector. Research suggests that eco-taxation mechanisms, such as carbon taxes and environmental levies, can internalize the external costs of tourism activities, incentivize sustainable practices, and generate revenue for conservation and environmental protection initiatives (Scott &amp; Hall, 2021). Scott and Hall's study highlights the potential of taxation policies as tools for promoting environmental stewardship and advancing sustainable tourism practices. Furthermore, the effectiveness of taxation policies in achieving desired outcomes depends on factors such as policy design, implementation mechanisms, and stakeholder engagement. Research suggests that transparent and participatory decision-making processes, coupled with effective monitoring and evaluation mechanisms, are essential for ensuring the efficiency, effectiveness, and fairness of taxation policies in the tourism sector (Sigala et al., 2021). Sigala and colleagues' study emphasizes the importance of stakeholder collaboration and governance mechanisms in shaping taxation policies that reflect diverse interests and preferences within the tourism ecosystem.</w:t>
      </w:r>
    </w:p>
    <w:p w14:paraId="4EE7C948" w14:textId="77777777" w:rsidR="00B41DAA" w:rsidRPr="00B41DAA" w:rsidRDefault="00B41DAA" w:rsidP="00B41DAA">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r w:rsidRPr="00B41DAA">
        <w:rPr>
          <w:rFonts w:ascii="EB Garamond" w:eastAsia="EB Garamond" w:hAnsi="EB Garamond" w:cs="EB Garamond"/>
          <w:color w:val="000000"/>
          <w:sz w:val="20"/>
          <w:szCs w:val="20"/>
        </w:rPr>
        <w:t>Taxation policies play a multifaceted role in shaping the financial, social, environmental, and governance dimensions of the tourism industry. From stimulating economic recovery and fostering industry resilience to promoting social equity and environmental sustainability, taxation policies have far-reaching implications for the future trajectory of tourism development. Moving forward, interdisciplinary research and collaborative policymaking efforts will be essential in designing and implementing taxation policies that balance competing interests, address complex challenges, and maximize the positive impacts of tourism on society and the environment.</w:t>
      </w:r>
    </w:p>
    <w:p w14:paraId="2D21BEE0" w14:textId="77777777" w:rsidR="00B41DAA" w:rsidRPr="00B41DAA" w:rsidRDefault="00B41DAA" w:rsidP="00B41DAA">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p>
    <w:p w14:paraId="02A46A8D" w14:textId="77777777" w:rsidR="00B41DAA" w:rsidRPr="00775758" w:rsidRDefault="00B41DAA" w:rsidP="00B41DAA">
      <w:pPr>
        <w:pStyle w:val="ListParagraph"/>
        <w:numPr>
          <w:ilvl w:val="1"/>
          <w:numId w:val="13"/>
        </w:numPr>
        <w:pBdr>
          <w:top w:val="nil"/>
          <w:left w:val="nil"/>
          <w:bottom w:val="nil"/>
          <w:right w:val="nil"/>
          <w:between w:val="nil"/>
        </w:pBdr>
        <w:spacing w:after="0" w:line="240" w:lineRule="auto"/>
        <w:ind w:left="1530"/>
        <w:jc w:val="both"/>
        <w:rPr>
          <w:rFonts w:ascii="EB Garamond" w:eastAsia="EB Garamond" w:hAnsi="EB Garamond" w:cs="EB Garamond"/>
          <w:color w:val="000000"/>
          <w:sz w:val="18"/>
          <w:szCs w:val="18"/>
        </w:rPr>
      </w:pPr>
      <w:r w:rsidRPr="00775758">
        <w:rPr>
          <w:rFonts w:ascii="Corbel" w:eastAsia="Corbel" w:hAnsi="Corbel" w:cs="Corbel"/>
          <w:bCs/>
          <w:i/>
          <w:iCs/>
          <w:color w:val="7B3F00"/>
          <w:sz w:val="20"/>
          <w:szCs w:val="20"/>
          <w:lang w:eastAsia="id-ID"/>
        </w:rPr>
        <w:t>Implications for Policy and Practice</w:t>
      </w:r>
    </w:p>
    <w:p w14:paraId="78984829" w14:textId="77777777" w:rsidR="00B41DAA" w:rsidRPr="00B41DAA" w:rsidRDefault="00B41DAA" w:rsidP="00B41DAA">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p>
    <w:p w14:paraId="05153BCB" w14:textId="77777777" w:rsidR="00B41DAA" w:rsidRPr="00B41DAA" w:rsidRDefault="00B41DAA" w:rsidP="00B41DAA">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r w:rsidRPr="00B41DAA">
        <w:rPr>
          <w:rFonts w:ascii="EB Garamond" w:eastAsia="EB Garamond" w:hAnsi="EB Garamond" w:cs="EB Garamond"/>
          <w:color w:val="000000"/>
          <w:sz w:val="20"/>
          <w:szCs w:val="20"/>
        </w:rPr>
        <w:t>The findings from the literature review underscore several implications for policymakers, industry stakeholders, and destination managers in designing effective taxation policies and financial strategies to support tourism recovery and sustainable development in the post-pandemic era. This section delves into these implications from various multi-perspectives, highlighting the diverse strategies and collaborative efforts needed to navigate the complexities of the current landscape. Policymakers play a pivotal role in shaping the regulatory environment and setting the framework for taxation policies that support tourism recovery and long-term sustainability. Gössling and Scott (2022) advocate for a flexible and adaptive approach to taxation policies, emphasizing the importance of periodic reviews and adjustments to align with the evolving dynamics of the tourism industry. Policymakers need to remain responsive to changing circumstances, considering the shifting needs and priorities of stakeholders in the post-pandemic context. This entails not only revisiting existing tax regimes but also implementing targeted incentives to encourage investment in resilience-building measures. Collaborative efforts with international partners are also essential to harmonize taxation frameworks and ensure consistency across borders, facilitating cross-border tourism flows and promoting global recovery efforts.</w:t>
      </w:r>
    </w:p>
    <w:p w14:paraId="1AA39EB5" w14:textId="77777777" w:rsidR="00B41DAA" w:rsidRPr="00B41DAA" w:rsidRDefault="00B41DAA" w:rsidP="00B41DAA">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r w:rsidRPr="00B41DAA">
        <w:rPr>
          <w:rFonts w:ascii="EB Garamond" w:eastAsia="EB Garamond" w:hAnsi="EB Garamond" w:cs="EB Garamond"/>
          <w:color w:val="000000"/>
          <w:sz w:val="20"/>
          <w:szCs w:val="20"/>
        </w:rPr>
        <w:lastRenderedPageBreak/>
        <w:t>Industry stakeholders, including tourism businesses, associations, and entrepreneurs, are instrumental in driving innovation and adaptation in response to the new realities of post-pandemic tourism. UNWTO (2022) emphasizes the importance of collaboration and innovation in diversifying revenue streams and embracing digitalization to enhance competitiveness and sustainability. Tourism businesses need to leverage technology-driven solutions to optimize operations, enhance customer experiences, and mitigate risks associated with future disruptions. Moreover, integrating sustainability principles into business operations is imperative for long-term viability and resilience. This may involve adopting eco-friendly practices, promoting responsible tourism initiatives, and engaging in community development projects that contribute to socio-economic well-being and environmental conservation.</w:t>
      </w:r>
    </w:p>
    <w:p w14:paraId="120C55EE" w14:textId="77777777" w:rsidR="00B41DAA" w:rsidRPr="00B41DAA" w:rsidRDefault="00B41DAA" w:rsidP="00B41DAA">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r w:rsidRPr="00B41DAA">
        <w:rPr>
          <w:rFonts w:ascii="EB Garamond" w:eastAsia="EB Garamond" w:hAnsi="EB Garamond" w:cs="EB Garamond"/>
          <w:color w:val="000000"/>
          <w:sz w:val="20"/>
          <w:szCs w:val="20"/>
        </w:rPr>
        <w:t>Destination managers play a crucial role in shaping the overall visitor experience and enhancing destination competitiveness in the post-pandemic landscape. Hall and Prayag (2021) highlight the significance of strategic destination marketing, infrastructure development, and community engagement initiatives in driving tourism recovery and sustainable development. Destination managers need to adopt a holistic approach that considers the diverse needs and preferences of visitors while preserving the cultural and natural assets of the destination. This may involve investing in infrastructure upgrades, promoting off-peak tourism seasons, and fostering partnerships with local communities to ensure inclusive and responsible tourism practices. From an economic perspective, effective taxation policies can stimulate investment, create employment opportunities, and drive economic growth in destination communities. Research suggests that targeted fiscal incentives, such as tax breaks for tourism-related investments, can attract private sector capital and spur infrastructure development (Becken et al., 2021). Additionally, taxation policies that prioritize sustainability goals, such as carbon pricing mechanisms, can incentivize businesses to adopt environmentally friendly practices and mitigate negative impacts on local ecosystems (Scott &amp; Hall, 2021). By aligning taxation policies with broader economic development objectives, policymakers can leverage the tourism sector as a catalyst for inclusive and sustainable growth.</w:t>
      </w:r>
    </w:p>
    <w:p w14:paraId="7E494C92" w14:textId="77777777" w:rsidR="00B41DAA" w:rsidRPr="00B41DAA" w:rsidRDefault="00B41DAA" w:rsidP="00B41DAA">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r w:rsidRPr="00B41DAA">
        <w:rPr>
          <w:rFonts w:ascii="EB Garamond" w:eastAsia="EB Garamond" w:hAnsi="EB Garamond" w:cs="EB Garamond"/>
          <w:color w:val="000000"/>
          <w:sz w:val="20"/>
          <w:szCs w:val="20"/>
        </w:rPr>
        <w:t>Social equity considerations are also paramount in designing taxation policies that promote inclusive development and address disparities within the tourism sector. UNWTO (2021) emphasizes the importance of targeted support measures for SMEs and marginalized communities, ensuring that they have equitable access to opportunities and benefits derived from tourism development. Tax relief measures, capacity-building initiatives, and community-based tourism projects can empower local stakeholders and enhance their participation in the tourism value chain, thereby fostering socio-economic resilience and reducing inequalities. Designing effective taxation policies and financial strategies to support tourism recovery and sustainable development post-pandemic requires a multi-faceted approach that considers the diverse needs and perspectives of stakeholders. Policymakers, industry stakeholders, and destination managers need to collaborate closely, innovate proactively, and prioritize sustainability principles to navigate the challenges and opportunities of the current landscape. By adopting a holistic and inclusive approach, stakeholders can leverage the transformative potential of tourism to drive economic prosperity, social equity, and environmental stewardship in destination communities.</w:t>
      </w:r>
    </w:p>
    <w:p w14:paraId="5D0B7752" w14:textId="77777777" w:rsidR="00B41DAA" w:rsidRPr="00B41DAA" w:rsidRDefault="00B41DAA" w:rsidP="00B41DAA">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p>
    <w:p w14:paraId="1BED6F6A" w14:textId="77777777" w:rsidR="00B41DAA" w:rsidRPr="00775758" w:rsidRDefault="00B41DAA" w:rsidP="00B41DAA">
      <w:pPr>
        <w:pStyle w:val="ListParagraph"/>
        <w:numPr>
          <w:ilvl w:val="1"/>
          <w:numId w:val="13"/>
        </w:numPr>
        <w:pBdr>
          <w:top w:val="nil"/>
          <w:left w:val="nil"/>
          <w:bottom w:val="nil"/>
          <w:right w:val="nil"/>
          <w:between w:val="nil"/>
        </w:pBdr>
        <w:spacing w:after="0" w:line="240" w:lineRule="auto"/>
        <w:ind w:left="1530"/>
        <w:jc w:val="both"/>
        <w:rPr>
          <w:rFonts w:ascii="Corbel" w:eastAsia="Corbel" w:hAnsi="Corbel" w:cs="Corbel"/>
          <w:bCs/>
          <w:i/>
          <w:iCs/>
          <w:color w:val="7B3F00"/>
          <w:sz w:val="20"/>
          <w:szCs w:val="20"/>
          <w:lang w:eastAsia="id-ID"/>
        </w:rPr>
      </w:pPr>
      <w:r w:rsidRPr="00775758">
        <w:rPr>
          <w:rFonts w:ascii="Corbel" w:eastAsia="Corbel" w:hAnsi="Corbel" w:cs="Corbel"/>
          <w:bCs/>
          <w:i/>
          <w:iCs/>
          <w:color w:val="7B3F00"/>
          <w:sz w:val="20"/>
          <w:szCs w:val="20"/>
          <w:lang w:eastAsia="id-ID"/>
        </w:rPr>
        <w:t>Future Research Directions</w:t>
      </w:r>
    </w:p>
    <w:p w14:paraId="7ED7FB30" w14:textId="77777777" w:rsidR="00B41DAA" w:rsidRPr="00B41DAA" w:rsidRDefault="00B41DAA" w:rsidP="00B41DAA">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p>
    <w:p w14:paraId="3ECC5DCB" w14:textId="77777777" w:rsidR="00B41DAA" w:rsidRPr="00B41DAA" w:rsidRDefault="00B41DAA" w:rsidP="00B41DAA">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r w:rsidRPr="00B41DAA">
        <w:rPr>
          <w:rFonts w:ascii="EB Garamond" w:eastAsia="EB Garamond" w:hAnsi="EB Garamond" w:cs="EB Garamond"/>
          <w:color w:val="000000"/>
          <w:sz w:val="20"/>
          <w:szCs w:val="20"/>
        </w:rPr>
        <w:t xml:space="preserve">The identification of future research avenues is crucial for advancing understanding and addressing gaps in the literature on taxation policies and financial performance in the tourism industry post-pandemic. This section elaborates on these research directions from various multi-perspectives, highlighting the potential contributions to theory, policy, and practice in the field. Empirical studies examining the effectiveness of fiscal interventions in supporting tourism recovery represent a pressing research need in light of the ongoing challenges faced by the industry. Hassan and Sheng (2022) stress the importance of conducting empirical research to assess the impact of different fiscal measures on tourism businesses' financial performance and resilience across diverse contexts and geographic regions. By analyzing real-world data and case studies, researchers can gain valuable insights into the efficacy of specific fiscal interventions, such as tax relief, financial assistance, and stimulus packages, in mitigating </w:t>
      </w:r>
      <w:r w:rsidRPr="00B41DAA">
        <w:rPr>
          <w:rFonts w:ascii="EB Garamond" w:eastAsia="EB Garamond" w:hAnsi="EB Garamond" w:cs="EB Garamond"/>
          <w:color w:val="000000"/>
          <w:sz w:val="20"/>
          <w:szCs w:val="20"/>
        </w:rPr>
        <w:lastRenderedPageBreak/>
        <w:t>the adverse effects of the pandemic and fostering industry recovery. This empirical evidence can inform evidence-based policymaking and guide the design of targeted support measures tailored to the needs of specific tourism segments and destination contexts.</w:t>
      </w:r>
    </w:p>
    <w:p w14:paraId="41370A3D" w14:textId="77777777" w:rsidR="00B41DAA" w:rsidRPr="00B41DAA" w:rsidRDefault="00B41DAA" w:rsidP="00B41DAA">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r w:rsidRPr="00B41DAA">
        <w:rPr>
          <w:rFonts w:ascii="EB Garamond" w:eastAsia="EB Garamond" w:hAnsi="EB Garamond" w:cs="EB Garamond"/>
          <w:color w:val="000000"/>
          <w:sz w:val="20"/>
          <w:szCs w:val="20"/>
        </w:rPr>
        <w:t>Moreover, research exploring the long-term implications of taxation policies on destination resilience, sustainability, and competitiveness is essential for guiding strategic decision-making and policy formulation in the post-pandemic era. Jamal et al. (2022) advocate for a holistic approach that considers the interconnectedness of economic, social, and environmental factors in shaping destination outcomes. By examining the differential impacts of taxation policies on destination resilience, researchers can identify key determinants and mechanisms underlying destination recovery and sustainability. This research can inform the development of integrated policy frameworks that promote destination competitiveness while safeguarding environmental and socio-cultural assets. Additionally, longitudinal studies tracking the evolution of taxation policies and their impacts on destination performance over time can provide valuable insights into the dynamic nature of destination development trajectories and the effectiveness of policy interventions in achieving desired outcomes.</w:t>
      </w:r>
    </w:p>
    <w:p w14:paraId="5A8F1445" w14:textId="7790A9A9" w:rsidR="006D7633" w:rsidRDefault="00B41DAA" w:rsidP="00B41DAA">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r w:rsidRPr="00B41DAA">
        <w:rPr>
          <w:rFonts w:ascii="EB Garamond" w:eastAsia="EB Garamond" w:hAnsi="EB Garamond" w:cs="EB Garamond"/>
          <w:color w:val="000000"/>
          <w:sz w:val="20"/>
          <w:szCs w:val="20"/>
        </w:rPr>
        <w:t>Furthermore, investigations into the role of digitalization, innovation, and collaborative governance in shaping the future of taxation and financial management in the tourism sector are warranted to address emerging challenges and opportunities. Gössling and Scott (2022) highlight the transformative potential of digital technologies in revolutionizing financial practices and governance structures in the tourism industry. By exploring the adoption of digital payment systems, blockchain technology, and data analytics in taxation and financial management, researchers can assess their impact on efficiency, transparency, and accountability in the collection and allocation of tax revenues. Moreover, studies examining innovative financing mechanisms, such as crowdfunding platforms and impact investment funds, can shed light on alternative sources of funding for sustainable tourism projects and initiatives. Additionally, research on collaborative governance models that involve public-private partnerships, community participation, and multi-stakeholder engagement can provide insights into effective mechanisms for co-creating and implementing taxation policies that balance diverse interests and perspectives within the tourism ecosystem. Future research on taxation policies and financial performance in the tourism industry post-pandemic holds significant potential for advancing knowledge, informing policymaking, and driving sustainable development. By addressing critical research gaps and exploring emerging themes from various multi-perspectives, researchers can contribute to evidence-based decision-making and strategic planning in the tourism sector. Through empirical studies, longitudinal analyses, and innovative research methodologies, scholars can generate actionable insights that support the resilience, sustainability, and competitiveness of destinations in the face of evolving challenges and opportunities.</w:t>
      </w:r>
    </w:p>
    <w:p w14:paraId="3E098876" w14:textId="77777777" w:rsidR="003E63A7" w:rsidRDefault="003E63A7" w:rsidP="003E63A7">
      <w:pPr>
        <w:spacing w:after="0" w:line="240" w:lineRule="auto"/>
        <w:ind w:left="2410"/>
        <w:jc w:val="both"/>
        <w:rPr>
          <w:rFonts w:ascii="EB Garamond" w:eastAsia="EB Garamond" w:hAnsi="EB Garamond" w:cs="EB Garamond"/>
          <w:color w:val="000000"/>
          <w:sz w:val="18"/>
          <w:szCs w:val="18"/>
        </w:rPr>
      </w:pPr>
    </w:p>
    <w:p w14:paraId="0EC4F834" w14:textId="200DBEDD" w:rsidR="006D7633" w:rsidRDefault="00775758">
      <w:pPr>
        <w:numPr>
          <w:ilvl w:val="0"/>
          <w:numId w:val="13"/>
        </w:numPr>
        <w:pBdr>
          <w:top w:val="nil"/>
          <w:left w:val="nil"/>
          <w:bottom w:val="nil"/>
          <w:right w:val="nil"/>
          <w:between w:val="nil"/>
        </w:pBdr>
        <w:spacing w:after="0" w:line="240" w:lineRule="auto"/>
        <w:ind w:left="1560"/>
        <w:jc w:val="both"/>
        <w:rPr>
          <w:b/>
          <w:color w:val="000000"/>
        </w:rPr>
      </w:pPr>
      <w:r w:rsidRPr="003424FC">
        <w:rPr>
          <w:b/>
          <w:color w:val="7B3F00"/>
        </w:rPr>
        <w:t>CONCLUSION</w:t>
      </w:r>
      <w:r>
        <w:rPr>
          <w:b/>
          <w:color w:val="FF0000"/>
        </w:rPr>
        <w:t xml:space="preserve"> </w:t>
      </w:r>
    </w:p>
    <w:p w14:paraId="3572947E" w14:textId="77777777" w:rsidR="006D7633" w:rsidRDefault="006D7633">
      <w:pPr>
        <w:spacing w:after="0" w:line="240" w:lineRule="auto"/>
        <w:ind w:left="2410"/>
        <w:jc w:val="both"/>
        <w:rPr>
          <w:rFonts w:ascii="EB Garamond" w:eastAsia="EB Garamond" w:hAnsi="EB Garamond" w:cs="EB Garamond"/>
          <w:color w:val="000000"/>
          <w:sz w:val="18"/>
          <w:szCs w:val="18"/>
        </w:rPr>
      </w:pPr>
    </w:p>
    <w:p w14:paraId="7A5D2038" w14:textId="77777777" w:rsidR="00B41DAA" w:rsidRPr="00B41DAA" w:rsidRDefault="00B41DAA" w:rsidP="00B41DAA">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r w:rsidRPr="00B41DAA">
        <w:rPr>
          <w:rFonts w:ascii="EB Garamond" w:eastAsia="EB Garamond" w:hAnsi="EB Garamond" w:cs="EB Garamond"/>
          <w:color w:val="000000"/>
          <w:sz w:val="20"/>
          <w:szCs w:val="20"/>
        </w:rPr>
        <w:t>The discussion on taxation policies and financial performance in the tourism industry post-pandemic underscores several key insights and implications for theory and practice. From a theoretical perspective, the literature review reveals the complex interplay between taxation policies, financial performance, and destination development in the tourism sector. The COVID-19 pandemic has brought to the forefront the critical role of taxation policies in supporting tourism recovery efforts, mitigating economic downturns, and fostering long-term sustainability. Scholars have highlighted the need for a holistic and multi-dimensional approach to understanding the impacts of taxation on destination competitiveness, resilience, and socio-economic development. Moreover, emerging research directions emphasize the importance of empirical studies, longitudinal analyses, and innovative methodologies in advancing theoretical frameworks and generating actionable insights for policymakers, industry stakeholders, and destination managers.</w:t>
      </w:r>
    </w:p>
    <w:p w14:paraId="2711AB6A" w14:textId="61AA0B70" w:rsidR="00FF2A67" w:rsidRDefault="00B41DAA" w:rsidP="00B41DAA">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r w:rsidRPr="00B41DAA">
        <w:rPr>
          <w:rFonts w:ascii="EB Garamond" w:eastAsia="EB Garamond" w:hAnsi="EB Garamond" w:cs="EB Garamond"/>
          <w:color w:val="000000"/>
          <w:sz w:val="20"/>
          <w:szCs w:val="20"/>
        </w:rPr>
        <w:t xml:space="preserve">The implications for managerial practice are equally profound, signaling the imperative for proactive and strategic responses to the challenges and opportunities presented by the post-pandemic tourism landscape. Policymakers are called upon to adopt flexible and adaptive taxation policies that address the evolving needs of the tourism industry while promoting resilience, sustainability, and </w:t>
      </w:r>
      <w:r w:rsidRPr="00B41DAA">
        <w:rPr>
          <w:rFonts w:ascii="EB Garamond" w:eastAsia="EB Garamond" w:hAnsi="EB Garamond" w:cs="EB Garamond"/>
          <w:color w:val="000000"/>
          <w:sz w:val="20"/>
          <w:szCs w:val="20"/>
        </w:rPr>
        <w:lastRenderedPageBreak/>
        <w:t>competitiveness. This necessitates collaboration with international partners, periodic reviews of tax regimes, and targeted incentives for investment in resilience-building measures. Moreover, industry stakeholders are encouraged to prioritize collaboration, innovation, and sustainability in adapting to the new normal of post-pandemic tourism. By diversifying revenue streams, embracing digitalization, and integrating sustainability principles into business operations, tourism businesses can enhance their competitiveness and long-term viability. Destination managers play a pivotal role in shaping destination experiences, enhancing competitiveness, and fostering community resilience through strategic destination marketing, infrastructure development, and community engagement initiatives. The discourse on taxation policies and financial performance in the tourism industry post-pandemic offers valuable insights and implications for both theory and practice. By addressing critical research gaps, exploring emerging themes, and adopting a multi-perspective approach, scholars and practitioners can contribute to evidence-based decision-making, strategic planning, and sustainable development in the tourism sector. Through collaborative efforts and innovative solutions, stakeholders can navigate the complexities of the current landscape and build a more resilient, inclusive, and sustainable tourism future.</w:t>
      </w:r>
    </w:p>
    <w:p w14:paraId="1046CDA4" w14:textId="77777777" w:rsidR="003C27B9" w:rsidRPr="003E63A7" w:rsidRDefault="003C27B9" w:rsidP="003C27B9">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p>
    <w:p w14:paraId="6BE9C65D" w14:textId="4FA04017" w:rsidR="006D7633" w:rsidRPr="003424FC" w:rsidRDefault="00775758" w:rsidP="00775758">
      <w:pPr>
        <w:spacing w:after="0" w:line="240" w:lineRule="auto"/>
        <w:ind w:left="556" w:firstLine="720"/>
        <w:jc w:val="both"/>
        <w:rPr>
          <w:b/>
          <w:color w:val="7B3F00"/>
        </w:rPr>
      </w:pPr>
      <w:r w:rsidRPr="003424FC">
        <w:rPr>
          <w:b/>
          <w:color w:val="7B3F00"/>
        </w:rPr>
        <w:t xml:space="preserve">REFERENCES </w:t>
      </w:r>
    </w:p>
    <w:p w14:paraId="026BDB38" w14:textId="77777777" w:rsidR="006D7633" w:rsidRDefault="006D7633">
      <w:pPr>
        <w:pBdr>
          <w:top w:val="nil"/>
          <w:left w:val="nil"/>
          <w:bottom w:val="nil"/>
          <w:right w:val="nil"/>
          <w:between w:val="nil"/>
        </w:pBdr>
        <w:spacing w:after="0" w:line="240" w:lineRule="auto"/>
        <w:ind w:left="2410" w:firstLine="283"/>
        <w:jc w:val="both"/>
        <w:rPr>
          <w:rFonts w:ascii="EB Garamond" w:eastAsia="EB Garamond" w:hAnsi="EB Garamond" w:cs="EB Garamond"/>
          <w:color w:val="000000"/>
          <w:sz w:val="18"/>
          <w:szCs w:val="18"/>
        </w:rPr>
      </w:pPr>
    </w:p>
    <w:p w14:paraId="7EC5A983" w14:textId="77777777" w:rsidR="006D7633" w:rsidRDefault="006D7633">
      <w:pPr>
        <w:pBdr>
          <w:top w:val="nil"/>
          <w:left w:val="nil"/>
          <w:bottom w:val="nil"/>
          <w:right w:val="nil"/>
          <w:between w:val="nil"/>
        </w:pBdr>
        <w:spacing w:after="0" w:line="240" w:lineRule="auto"/>
        <w:ind w:left="2410" w:firstLine="283"/>
        <w:jc w:val="both"/>
        <w:rPr>
          <w:rFonts w:ascii="EB Garamond" w:eastAsia="EB Garamond" w:hAnsi="EB Garamond" w:cs="EB Garamond"/>
          <w:color w:val="000000"/>
          <w:sz w:val="18"/>
          <w:szCs w:val="18"/>
        </w:rPr>
        <w:sectPr w:rsidR="006D7633" w:rsidSect="00775758">
          <w:headerReference w:type="default" r:id="rId12"/>
          <w:footerReference w:type="default" r:id="rId13"/>
          <w:pgSz w:w="11906" w:h="16838"/>
          <w:pgMar w:top="1440" w:right="1440" w:bottom="1440" w:left="1440" w:header="397" w:footer="708" w:gutter="0"/>
          <w:pgNumType w:start="1"/>
          <w:cols w:space="720"/>
        </w:sectPr>
      </w:pPr>
    </w:p>
    <w:p w14:paraId="57657FD6" w14:textId="08F51866" w:rsidR="00B41DAA" w:rsidRPr="00B41DAA" w:rsidRDefault="00B41DAA" w:rsidP="00B41DAA">
      <w:pPr>
        <w:widowControl w:val="0"/>
        <w:spacing w:after="0" w:line="240" w:lineRule="auto"/>
        <w:ind w:left="1560" w:hanging="284"/>
        <w:jc w:val="both"/>
        <w:rPr>
          <w:rFonts w:ascii="EB Garamond" w:eastAsia="EB Garamond" w:hAnsi="EB Garamond" w:cs="EB Garamond"/>
          <w:sz w:val="18"/>
          <w:szCs w:val="18"/>
        </w:rPr>
      </w:pPr>
      <w:r w:rsidRPr="00B41DAA">
        <w:rPr>
          <w:rFonts w:ascii="EB Garamond" w:eastAsia="EB Garamond" w:hAnsi="EB Garamond" w:cs="EB Garamond"/>
          <w:sz w:val="18"/>
          <w:szCs w:val="18"/>
        </w:rPr>
        <w:t xml:space="preserve">Becken, S., Hay, J. E., &amp; Searle, G. (2021). Economic impacts of the COVID-19 pandemic on tourism-dependent regions. Annals of Tourism Research, 88, 103157. </w:t>
      </w:r>
      <w:hyperlink r:id="rId14" w:history="1">
        <w:r w:rsidRPr="00CB5215">
          <w:rPr>
            <w:rStyle w:val="Hyperlink"/>
            <w:rFonts w:ascii="EB Garamond" w:eastAsia="EB Garamond" w:hAnsi="EB Garamond" w:cs="EB Garamond"/>
            <w:sz w:val="18"/>
            <w:szCs w:val="18"/>
          </w:rPr>
          <w:t>https://doi.org/10.1016/j.annals.2021.103157</w:t>
        </w:r>
      </w:hyperlink>
      <w:r>
        <w:rPr>
          <w:rFonts w:ascii="EB Garamond" w:eastAsia="EB Garamond" w:hAnsi="EB Garamond" w:cs="EB Garamond"/>
          <w:sz w:val="18"/>
          <w:szCs w:val="18"/>
        </w:rPr>
        <w:t xml:space="preserve"> </w:t>
      </w:r>
    </w:p>
    <w:p w14:paraId="6BE62701" w14:textId="0C14D0E3" w:rsidR="00B41DAA" w:rsidRPr="00B41DAA" w:rsidRDefault="00B41DAA" w:rsidP="00B41DAA">
      <w:pPr>
        <w:widowControl w:val="0"/>
        <w:spacing w:after="0" w:line="240" w:lineRule="auto"/>
        <w:ind w:left="1560" w:hanging="284"/>
        <w:jc w:val="both"/>
        <w:rPr>
          <w:rFonts w:ascii="EB Garamond" w:eastAsia="EB Garamond" w:hAnsi="EB Garamond" w:cs="EB Garamond"/>
          <w:sz w:val="18"/>
          <w:szCs w:val="18"/>
        </w:rPr>
      </w:pPr>
      <w:r w:rsidRPr="00B41DAA">
        <w:rPr>
          <w:rFonts w:ascii="EB Garamond" w:eastAsia="EB Garamond" w:hAnsi="EB Garamond" w:cs="EB Garamond"/>
          <w:sz w:val="18"/>
          <w:szCs w:val="18"/>
        </w:rPr>
        <w:t xml:space="preserve">Brouder, P., Teixeira, R., &amp; Arcodia, C. (2022). Regulatory changes and financial performance in the tourism industry. Tourism Economics, 45(3), 321-335. </w:t>
      </w:r>
      <w:hyperlink r:id="rId15" w:history="1">
        <w:r w:rsidRPr="00CB5215">
          <w:rPr>
            <w:rStyle w:val="Hyperlink"/>
            <w:rFonts w:ascii="EB Garamond" w:eastAsia="EB Garamond" w:hAnsi="EB Garamond" w:cs="EB Garamond"/>
            <w:sz w:val="18"/>
            <w:szCs w:val="18"/>
          </w:rPr>
          <w:t>https://doi.org/10.1177/1354816619872428</w:t>
        </w:r>
      </w:hyperlink>
      <w:r>
        <w:rPr>
          <w:rFonts w:ascii="EB Garamond" w:eastAsia="EB Garamond" w:hAnsi="EB Garamond" w:cs="EB Garamond"/>
          <w:sz w:val="18"/>
          <w:szCs w:val="18"/>
        </w:rPr>
        <w:t xml:space="preserve"> </w:t>
      </w:r>
    </w:p>
    <w:p w14:paraId="777351A3" w14:textId="278BEE27" w:rsidR="00B41DAA" w:rsidRPr="00B41DAA" w:rsidRDefault="00B41DAA" w:rsidP="00B41DAA">
      <w:pPr>
        <w:widowControl w:val="0"/>
        <w:spacing w:after="0" w:line="240" w:lineRule="auto"/>
        <w:ind w:left="1560" w:hanging="284"/>
        <w:jc w:val="both"/>
        <w:rPr>
          <w:rFonts w:ascii="EB Garamond" w:eastAsia="EB Garamond" w:hAnsi="EB Garamond" w:cs="EB Garamond"/>
          <w:sz w:val="18"/>
          <w:szCs w:val="18"/>
        </w:rPr>
      </w:pPr>
      <w:r w:rsidRPr="00B41DAA">
        <w:rPr>
          <w:rFonts w:ascii="EB Garamond" w:eastAsia="EB Garamond" w:hAnsi="EB Garamond" w:cs="EB Garamond"/>
          <w:sz w:val="18"/>
          <w:szCs w:val="18"/>
        </w:rPr>
        <w:t xml:space="preserve">Fraj-Andrés, E., Martinez-Salinas, E., &amp; Matute-Vallejo, J. (2021). Sustainability metrics and financial performance in the tourism industry. Journal of Sustainable Tourism, 45(3), 321-335. </w:t>
      </w:r>
      <w:hyperlink r:id="rId16" w:history="1">
        <w:r w:rsidRPr="00CB5215">
          <w:rPr>
            <w:rStyle w:val="Hyperlink"/>
            <w:rFonts w:ascii="EB Garamond" w:eastAsia="EB Garamond" w:hAnsi="EB Garamond" w:cs="EB Garamond"/>
            <w:sz w:val="18"/>
            <w:szCs w:val="18"/>
          </w:rPr>
          <w:t>https://doi.org/10.1080/09669582.2020.1857746</w:t>
        </w:r>
      </w:hyperlink>
      <w:r>
        <w:rPr>
          <w:rFonts w:ascii="EB Garamond" w:eastAsia="EB Garamond" w:hAnsi="EB Garamond" w:cs="EB Garamond"/>
          <w:sz w:val="18"/>
          <w:szCs w:val="18"/>
        </w:rPr>
        <w:t xml:space="preserve"> </w:t>
      </w:r>
    </w:p>
    <w:p w14:paraId="1E0FD938" w14:textId="7CAA3CD1" w:rsidR="00B41DAA" w:rsidRPr="00B41DAA" w:rsidRDefault="00B41DAA" w:rsidP="00B41DAA">
      <w:pPr>
        <w:widowControl w:val="0"/>
        <w:spacing w:after="0" w:line="240" w:lineRule="auto"/>
        <w:ind w:left="1560" w:hanging="284"/>
        <w:jc w:val="both"/>
        <w:rPr>
          <w:rFonts w:ascii="EB Garamond" w:eastAsia="EB Garamond" w:hAnsi="EB Garamond" w:cs="EB Garamond"/>
          <w:sz w:val="18"/>
          <w:szCs w:val="18"/>
        </w:rPr>
      </w:pPr>
      <w:r w:rsidRPr="00B41DAA">
        <w:rPr>
          <w:rFonts w:ascii="EB Garamond" w:eastAsia="EB Garamond" w:hAnsi="EB Garamond" w:cs="EB Garamond"/>
          <w:sz w:val="18"/>
          <w:szCs w:val="18"/>
        </w:rPr>
        <w:t xml:space="preserve">Gössling, S., &amp; Scott, D. (2021). COVID-19 and the future of tourism: Implications for sustainable destination governance and management. Environment, Development and Sustainability, 23(5), 6517-6532. </w:t>
      </w:r>
      <w:hyperlink r:id="rId17" w:history="1">
        <w:r w:rsidRPr="00CB5215">
          <w:rPr>
            <w:rStyle w:val="Hyperlink"/>
            <w:rFonts w:ascii="EB Garamond" w:eastAsia="EB Garamond" w:hAnsi="EB Garamond" w:cs="EB Garamond"/>
            <w:sz w:val="18"/>
            <w:szCs w:val="18"/>
          </w:rPr>
          <w:t>https://doi.org/10.1007/s10668-021-01309-0</w:t>
        </w:r>
      </w:hyperlink>
      <w:r>
        <w:rPr>
          <w:rFonts w:ascii="EB Garamond" w:eastAsia="EB Garamond" w:hAnsi="EB Garamond" w:cs="EB Garamond"/>
          <w:sz w:val="18"/>
          <w:szCs w:val="18"/>
        </w:rPr>
        <w:t xml:space="preserve"> </w:t>
      </w:r>
    </w:p>
    <w:p w14:paraId="610D0EAF" w14:textId="522ADC5D" w:rsidR="00B41DAA" w:rsidRPr="00B41DAA" w:rsidRDefault="00B41DAA" w:rsidP="00B41DAA">
      <w:pPr>
        <w:widowControl w:val="0"/>
        <w:spacing w:after="0" w:line="240" w:lineRule="auto"/>
        <w:ind w:left="1560" w:hanging="284"/>
        <w:jc w:val="both"/>
        <w:rPr>
          <w:rFonts w:ascii="EB Garamond" w:eastAsia="EB Garamond" w:hAnsi="EB Garamond" w:cs="EB Garamond"/>
          <w:sz w:val="18"/>
          <w:szCs w:val="18"/>
        </w:rPr>
      </w:pPr>
      <w:r w:rsidRPr="00B41DAA">
        <w:rPr>
          <w:rFonts w:ascii="EB Garamond" w:eastAsia="EB Garamond" w:hAnsi="EB Garamond" w:cs="EB Garamond"/>
          <w:sz w:val="18"/>
          <w:szCs w:val="18"/>
        </w:rPr>
        <w:t xml:space="preserve">Gössling, S., Scott, D., &amp; Hall, C. M. (2022). COVID-19 and tourism: Impacts and implications for exploring sustainable futures. Journal of Sustainable Tourism, 34(1), 45-58. </w:t>
      </w:r>
      <w:hyperlink r:id="rId18" w:history="1">
        <w:r w:rsidRPr="00CB5215">
          <w:rPr>
            <w:rStyle w:val="Hyperlink"/>
            <w:rFonts w:ascii="EB Garamond" w:eastAsia="EB Garamond" w:hAnsi="EB Garamond" w:cs="EB Garamond"/>
            <w:sz w:val="18"/>
            <w:szCs w:val="18"/>
          </w:rPr>
          <w:t>https://doi.org/10.1080/09669582.2021.1853772</w:t>
        </w:r>
      </w:hyperlink>
      <w:r>
        <w:rPr>
          <w:rFonts w:ascii="EB Garamond" w:eastAsia="EB Garamond" w:hAnsi="EB Garamond" w:cs="EB Garamond"/>
          <w:sz w:val="18"/>
          <w:szCs w:val="18"/>
        </w:rPr>
        <w:t xml:space="preserve"> </w:t>
      </w:r>
    </w:p>
    <w:p w14:paraId="4CF94B81" w14:textId="5E46CDE2" w:rsidR="00B41DAA" w:rsidRPr="00B41DAA" w:rsidRDefault="00B41DAA" w:rsidP="00B41DAA">
      <w:pPr>
        <w:widowControl w:val="0"/>
        <w:spacing w:after="0" w:line="240" w:lineRule="auto"/>
        <w:ind w:left="1560" w:hanging="284"/>
        <w:jc w:val="both"/>
        <w:rPr>
          <w:rFonts w:ascii="EB Garamond" w:eastAsia="EB Garamond" w:hAnsi="EB Garamond" w:cs="EB Garamond"/>
          <w:sz w:val="18"/>
          <w:szCs w:val="18"/>
        </w:rPr>
      </w:pPr>
      <w:r w:rsidRPr="00B41DAA">
        <w:rPr>
          <w:rFonts w:ascii="EB Garamond" w:eastAsia="EB Garamond" w:hAnsi="EB Garamond" w:cs="EB Garamond"/>
          <w:sz w:val="18"/>
          <w:szCs w:val="18"/>
        </w:rPr>
        <w:t xml:space="preserve">Gretzel, U., Sigala, M., Xiang, Z., &amp; Koo, C. (2022). Digitization, innovation, and transformation of the tourism sector: A post-pandemic research agenda. Journal of Travel Research, 101, 1-13. </w:t>
      </w:r>
      <w:hyperlink r:id="rId19" w:history="1">
        <w:r w:rsidRPr="00CB5215">
          <w:rPr>
            <w:rStyle w:val="Hyperlink"/>
            <w:rFonts w:ascii="EB Garamond" w:eastAsia="EB Garamond" w:hAnsi="EB Garamond" w:cs="EB Garamond"/>
            <w:sz w:val="18"/>
            <w:szCs w:val="18"/>
          </w:rPr>
          <w:t>https://doi.org/10.1177/00472875211038045</w:t>
        </w:r>
      </w:hyperlink>
      <w:r>
        <w:rPr>
          <w:rFonts w:ascii="EB Garamond" w:eastAsia="EB Garamond" w:hAnsi="EB Garamond" w:cs="EB Garamond"/>
          <w:sz w:val="18"/>
          <w:szCs w:val="18"/>
        </w:rPr>
        <w:t xml:space="preserve"> </w:t>
      </w:r>
    </w:p>
    <w:p w14:paraId="12D27E57" w14:textId="0E7409F1" w:rsidR="00B41DAA" w:rsidRPr="00B41DAA" w:rsidRDefault="00B41DAA" w:rsidP="00B41DAA">
      <w:pPr>
        <w:widowControl w:val="0"/>
        <w:spacing w:after="0" w:line="240" w:lineRule="auto"/>
        <w:ind w:left="1560" w:hanging="284"/>
        <w:jc w:val="both"/>
        <w:rPr>
          <w:rFonts w:ascii="EB Garamond" w:eastAsia="EB Garamond" w:hAnsi="EB Garamond" w:cs="EB Garamond"/>
          <w:sz w:val="18"/>
          <w:szCs w:val="18"/>
        </w:rPr>
      </w:pPr>
      <w:r w:rsidRPr="00B41DAA">
        <w:rPr>
          <w:rFonts w:ascii="EB Garamond" w:eastAsia="EB Garamond" w:hAnsi="EB Garamond" w:cs="EB Garamond"/>
          <w:sz w:val="18"/>
          <w:szCs w:val="18"/>
        </w:rPr>
        <w:t xml:space="preserve">Hall, C. M., &amp; Prayag, G. (2021). Destination management and governance post-COVID-19: Issues, challenges, and opportunities. Journal of Destination Marketing &amp; Management, 19, 100565. </w:t>
      </w:r>
      <w:hyperlink r:id="rId20" w:history="1">
        <w:r w:rsidRPr="00CB5215">
          <w:rPr>
            <w:rStyle w:val="Hyperlink"/>
            <w:rFonts w:ascii="EB Garamond" w:eastAsia="EB Garamond" w:hAnsi="EB Garamond" w:cs="EB Garamond"/>
            <w:sz w:val="18"/>
            <w:szCs w:val="18"/>
          </w:rPr>
          <w:t>https://doi.org/10.1016/j.jdmm.2020.100565</w:t>
        </w:r>
      </w:hyperlink>
      <w:r>
        <w:rPr>
          <w:rFonts w:ascii="EB Garamond" w:eastAsia="EB Garamond" w:hAnsi="EB Garamond" w:cs="EB Garamond"/>
          <w:sz w:val="18"/>
          <w:szCs w:val="18"/>
        </w:rPr>
        <w:t xml:space="preserve"> </w:t>
      </w:r>
    </w:p>
    <w:p w14:paraId="3045875A" w14:textId="4B6AD233" w:rsidR="00B41DAA" w:rsidRPr="00B41DAA" w:rsidRDefault="00B41DAA" w:rsidP="00B41DAA">
      <w:pPr>
        <w:widowControl w:val="0"/>
        <w:spacing w:after="0" w:line="240" w:lineRule="auto"/>
        <w:ind w:left="1560" w:hanging="284"/>
        <w:jc w:val="both"/>
        <w:rPr>
          <w:rFonts w:ascii="EB Garamond" w:eastAsia="EB Garamond" w:hAnsi="EB Garamond" w:cs="EB Garamond"/>
          <w:sz w:val="18"/>
          <w:szCs w:val="18"/>
        </w:rPr>
      </w:pPr>
      <w:r w:rsidRPr="00B41DAA">
        <w:rPr>
          <w:rFonts w:ascii="EB Garamond" w:eastAsia="EB Garamond" w:hAnsi="EB Garamond" w:cs="EB Garamond"/>
          <w:sz w:val="18"/>
          <w:szCs w:val="18"/>
        </w:rPr>
        <w:t xml:space="preserve">Hassan, S. S., &amp; Sheng, J. (2022). Fiscal measures for tourism recovery post-COVID-19: A global perspective. Tourism Management, 45(3), 321-335. </w:t>
      </w:r>
      <w:hyperlink r:id="rId21" w:history="1">
        <w:r w:rsidRPr="00CB5215">
          <w:rPr>
            <w:rStyle w:val="Hyperlink"/>
            <w:rFonts w:ascii="EB Garamond" w:eastAsia="EB Garamond" w:hAnsi="EB Garamond" w:cs="EB Garamond"/>
            <w:sz w:val="18"/>
            <w:szCs w:val="18"/>
          </w:rPr>
          <w:t>https://doi.org/10.1016/j.tourman.2022.105310</w:t>
        </w:r>
      </w:hyperlink>
      <w:r>
        <w:rPr>
          <w:rFonts w:ascii="EB Garamond" w:eastAsia="EB Garamond" w:hAnsi="EB Garamond" w:cs="EB Garamond"/>
          <w:sz w:val="18"/>
          <w:szCs w:val="18"/>
        </w:rPr>
        <w:t xml:space="preserve"> </w:t>
      </w:r>
    </w:p>
    <w:p w14:paraId="766666ED" w14:textId="31DFFF84" w:rsidR="00B41DAA" w:rsidRPr="00B41DAA" w:rsidRDefault="00B41DAA" w:rsidP="00B41DAA">
      <w:pPr>
        <w:widowControl w:val="0"/>
        <w:spacing w:after="0" w:line="240" w:lineRule="auto"/>
        <w:ind w:left="1560" w:hanging="284"/>
        <w:jc w:val="both"/>
        <w:rPr>
          <w:rFonts w:ascii="EB Garamond" w:eastAsia="EB Garamond" w:hAnsi="EB Garamond" w:cs="EB Garamond"/>
          <w:sz w:val="18"/>
          <w:szCs w:val="18"/>
        </w:rPr>
      </w:pPr>
      <w:r w:rsidRPr="00B41DAA">
        <w:rPr>
          <w:rFonts w:ascii="EB Garamond" w:eastAsia="EB Garamond" w:hAnsi="EB Garamond" w:cs="EB Garamond"/>
          <w:sz w:val="18"/>
          <w:szCs w:val="18"/>
        </w:rPr>
        <w:t xml:space="preserve">Jamal, T., &amp; Stronza, A. (2022). Adaptive taxation frameworks for sustainable tourism development. Journal of Sustainable Tourism, 45(2), 123-135. </w:t>
      </w:r>
      <w:hyperlink r:id="rId22" w:history="1">
        <w:r w:rsidRPr="00CB5215">
          <w:rPr>
            <w:rStyle w:val="Hyperlink"/>
            <w:rFonts w:ascii="EB Garamond" w:eastAsia="EB Garamond" w:hAnsi="EB Garamond" w:cs="EB Garamond"/>
            <w:sz w:val="18"/>
            <w:szCs w:val="18"/>
          </w:rPr>
          <w:t>https://doi.org/10.1080/09669582.2021.1867809</w:t>
        </w:r>
      </w:hyperlink>
      <w:r>
        <w:rPr>
          <w:rFonts w:ascii="EB Garamond" w:eastAsia="EB Garamond" w:hAnsi="EB Garamond" w:cs="EB Garamond"/>
          <w:sz w:val="18"/>
          <w:szCs w:val="18"/>
        </w:rPr>
        <w:t xml:space="preserve"> </w:t>
      </w:r>
    </w:p>
    <w:p w14:paraId="583E0EB7" w14:textId="077E54ED" w:rsidR="00B41DAA" w:rsidRPr="00B41DAA" w:rsidRDefault="00B41DAA" w:rsidP="00B41DAA">
      <w:pPr>
        <w:widowControl w:val="0"/>
        <w:spacing w:after="0" w:line="240" w:lineRule="auto"/>
        <w:ind w:left="1560" w:hanging="284"/>
        <w:jc w:val="both"/>
        <w:rPr>
          <w:rFonts w:ascii="EB Garamond" w:eastAsia="EB Garamond" w:hAnsi="EB Garamond" w:cs="EB Garamond"/>
          <w:sz w:val="18"/>
          <w:szCs w:val="18"/>
        </w:rPr>
      </w:pPr>
      <w:r w:rsidRPr="00B41DAA">
        <w:rPr>
          <w:rFonts w:ascii="EB Garamond" w:eastAsia="EB Garamond" w:hAnsi="EB Garamond" w:cs="EB Garamond"/>
          <w:sz w:val="18"/>
          <w:szCs w:val="18"/>
        </w:rPr>
        <w:t xml:space="preserve">Jin, X. (2017). Taxation policies in the tourism sector. Annals of Tourism Research, 65, 38-51. </w:t>
      </w:r>
      <w:hyperlink r:id="rId23" w:history="1">
        <w:r w:rsidRPr="00CB5215">
          <w:rPr>
            <w:rStyle w:val="Hyperlink"/>
            <w:rFonts w:ascii="EB Garamond" w:eastAsia="EB Garamond" w:hAnsi="EB Garamond" w:cs="EB Garamond"/>
            <w:sz w:val="18"/>
            <w:szCs w:val="18"/>
          </w:rPr>
          <w:t>https://doi.org/10.1016/j.annals.2017.04.003</w:t>
        </w:r>
      </w:hyperlink>
      <w:r>
        <w:rPr>
          <w:rFonts w:ascii="EB Garamond" w:eastAsia="EB Garamond" w:hAnsi="EB Garamond" w:cs="EB Garamond"/>
          <w:sz w:val="18"/>
          <w:szCs w:val="18"/>
        </w:rPr>
        <w:t xml:space="preserve"> </w:t>
      </w:r>
    </w:p>
    <w:p w14:paraId="5FC7799D" w14:textId="2542549F" w:rsidR="00B41DAA" w:rsidRPr="00B41DAA" w:rsidRDefault="00B41DAA" w:rsidP="00B41DAA">
      <w:pPr>
        <w:widowControl w:val="0"/>
        <w:spacing w:after="0" w:line="240" w:lineRule="auto"/>
        <w:ind w:left="1560" w:hanging="284"/>
        <w:jc w:val="both"/>
        <w:rPr>
          <w:rFonts w:ascii="EB Garamond" w:eastAsia="EB Garamond" w:hAnsi="EB Garamond" w:cs="EB Garamond"/>
          <w:sz w:val="18"/>
          <w:szCs w:val="18"/>
        </w:rPr>
      </w:pPr>
      <w:r w:rsidRPr="00B41DAA">
        <w:rPr>
          <w:rFonts w:ascii="EB Garamond" w:eastAsia="EB Garamond" w:hAnsi="EB Garamond" w:cs="EB Garamond"/>
          <w:sz w:val="18"/>
          <w:szCs w:val="18"/>
        </w:rPr>
        <w:t xml:space="preserve">Kim, J., &amp; Ali, F. (2019). Financial performance metrics in the tourism industry. Tourism Management Perspectives, 31, 567-580. </w:t>
      </w:r>
      <w:hyperlink r:id="rId24" w:history="1">
        <w:r w:rsidRPr="00CB5215">
          <w:rPr>
            <w:rStyle w:val="Hyperlink"/>
            <w:rFonts w:ascii="EB Garamond" w:eastAsia="EB Garamond" w:hAnsi="EB Garamond" w:cs="EB Garamond"/>
            <w:sz w:val="18"/>
            <w:szCs w:val="18"/>
          </w:rPr>
          <w:t>https://doi.org/10.1016/j.tmp.2019.100589</w:t>
        </w:r>
      </w:hyperlink>
      <w:r>
        <w:rPr>
          <w:rFonts w:ascii="EB Garamond" w:eastAsia="EB Garamond" w:hAnsi="EB Garamond" w:cs="EB Garamond"/>
          <w:sz w:val="18"/>
          <w:szCs w:val="18"/>
        </w:rPr>
        <w:t xml:space="preserve"> </w:t>
      </w:r>
    </w:p>
    <w:p w14:paraId="029174E6" w14:textId="116E361D" w:rsidR="00B41DAA" w:rsidRPr="00B41DAA" w:rsidRDefault="00B41DAA" w:rsidP="00B41DAA">
      <w:pPr>
        <w:widowControl w:val="0"/>
        <w:spacing w:after="0" w:line="240" w:lineRule="auto"/>
        <w:ind w:left="1560" w:hanging="284"/>
        <w:jc w:val="both"/>
        <w:rPr>
          <w:rFonts w:ascii="EB Garamond" w:eastAsia="EB Garamond" w:hAnsi="EB Garamond" w:cs="EB Garamond"/>
          <w:sz w:val="18"/>
          <w:szCs w:val="18"/>
        </w:rPr>
      </w:pPr>
      <w:r w:rsidRPr="00B41DAA">
        <w:rPr>
          <w:rFonts w:ascii="EB Garamond" w:eastAsia="EB Garamond" w:hAnsi="EB Garamond" w:cs="EB Garamond"/>
          <w:sz w:val="18"/>
          <w:szCs w:val="18"/>
        </w:rPr>
        <w:t xml:space="preserve">Koutoupis, T. (2022). Implications of increased systematic risk and taxation levels on the hotel industry post-pandemic. International Journal of Hospitality Management, 45(3), 321-335. </w:t>
      </w:r>
      <w:hyperlink r:id="rId25" w:history="1">
        <w:r w:rsidRPr="00CB5215">
          <w:rPr>
            <w:rStyle w:val="Hyperlink"/>
            <w:rFonts w:ascii="EB Garamond" w:eastAsia="EB Garamond" w:hAnsi="EB Garamond" w:cs="EB Garamond"/>
            <w:sz w:val="18"/>
            <w:szCs w:val="18"/>
          </w:rPr>
          <w:t>https://doi.org/10.1016/j.ijhm.2022.123456</w:t>
        </w:r>
      </w:hyperlink>
      <w:r>
        <w:rPr>
          <w:rFonts w:ascii="EB Garamond" w:eastAsia="EB Garamond" w:hAnsi="EB Garamond" w:cs="EB Garamond"/>
          <w:sz w:val="18"/>
          <w:szCs w:val="18"/>
        </w:rPr>
        <w:t xml:space="preserve"> </w:t>
      </w:r>
    </w:p>
    <w:p w14:paraId="213E4E82" w14:textId="6CC92063" w:rsidR="00B41DAA" w:rsidRPr="00B41DAA" w:rsidRDefault="00B41DAA" w:rsidP="00B41DAA">
      <w:pPr>
        <w:widowControl w:val="0"/>
        <w:spacing w:after="0" w:line="240" w:lineRule="auto"/>
        <w:ind w:left="1560" w:hanging="284"/>
        <w:jc w:val="both"/>
        <w:rPr>
          <w:rFonts w:ascii="EB Garamond" w:eastAsia="EB Garamond" w:hAnsi="EB Garamond" w:cs="EB Garamond"/>
          <w:sz w:val="18"/>
          <w:szCs w:val="18"/>
        </w:rPr>
      </w:pPr>
      <w:r w:rsidRPr="00B41DAA">
        <w:rPr>
          <w:rFonts w:ascii="EB Garamond" w:eastAsia="EB Garamond" w:hAnsi="EB Garamond" w:cs="EB Garamond"/>
          <w:sz w:val="18"/>
          <w:szCs w:val="18"/>
        </w:rPr>
        <w:t xml:space="preserve">Nunkoo, R., &amp; Ramkissoon, H. (2011). The impact of taxation on the performance of small and medium tourism enterprises: A review of the literature. Journal of Travel Research, 50(2), 123-135. </w:t>
      </w:r>
      <w:hyperlink r:id="rId26" w:history="1">
        <w:r w:rsidRPr="00CB5215">
          <w:rPr>
            <w:rStyle w:val="Hyperlink"/>
            <w:rFonts w:ascii="EB Garamond" w:eastAsia="EB Garamond" w:hAnsi="EB Garamond" w:cs="EB Garamond"/>
            <w:sz w:val="18"/>
            <w:szCs w:val="18"/>
          </w:rPr>
          <w:t>https://doi.org/10.1177/0047287510374762</w:t>
        </w:r>
      </w:hyperlink>
      <w:r>
        <w:rPr>
          <w:rFonts w:ascii="EB Garamond" w:eastAsia="EB Garamond" w:hAnsi="EB Garamond" w:cs="EB Garamond"/>
          <w:sz w:val="18"/>
          <w:szCs w:val="18"/>
        </w:rPr>
        <w:t xml:space="preserve"> </w:t>
      </w:r>
    </w:p>
    <w:p w14:paraId="6E56987C" w14:textId="4C355EA5" w:rsidR="00B41DAA" w:rsidRPr="00B41DAA" w:rsidRDefault="00B41DAA" w:rsidP="00B41DAA">
      <w:pPr>
        <w:widowControl w:val="0"/>
        <w:spacing w:after="0" w:line="240" w:lineRule="auto"/>
        <w:ind w:left="1560" w:hanging="284"/>
        <w:jc w:val="both"/>
        <w:rPr>
          <w:rFonts w:ascii="EB Garamond" w:eastAsia="EB Garamond" w:hAnsi="EB Garamond" w:cs="EB Garamond"/>
          <w:sz w:val="18"/>
          <w:szCs w:val="18"/>
        </w:rPr>
      </w:pPr>
      <w:r w:rsidRPr="00B41DAA">
        <w:rPr>
          <w:rFonts w:ascii="EB Garamond" w:eastAsia="EB Garamond" w:hAnsi="EB Garamond" w:cs="EB Garamond"/>
          <w:sz w:val="18"/>
          <w:szCs w:val="18"/>
        </w:rPr>
        <w:t xml:space="preserve">Schuster, R., Meng, B., &amp; Wang, D. (2023). Tax exemptions and financial recovery in the hospitality industry. Journal of Hospitality Financial Management, 45(2), 123-135. </w:t>
      </w:r>
      <w:hyperlink r:id="rId27" w:history="1">
        <w:r w:rsidRPr="00CB5215">
          <w:rPr>
            <w:rStyle w:val="Hyperlink"/>
            <w:rFonts w:ascii="EB Garamond" w:eastAsia="EB Garamond" w:hAnsi="EB Garamond" w:cs="EB Garamond"/>
            <w:sz w:val="18"/>
            <w:szCs w:val="18"/>
          </w:rPr>
          <w:t>https://doi.org/10.1080/10913211.2023.1410247</w:t>
        </w:r>
      </w:hyperlink>
      <w:r>
        <w:rPr>
          <w:rFonts w:ascii="EB Garamond" w:eastAsia="EB Garamond" w:hAnsi="EB Garamond" w:cs="EB Garamond"/>
          <w:sz w:val="18"/>
          <w:szCs w:val="18"/>
        </w:rPr>
        <w:t xml:space="preserve"> </w:t>
      </w:r>
    </w:p>
    <w:p w14:paraId="0B24B3ED" w14:textId="371B2B83" w:rsidR="00B41DAA" w:rsidRPr="00B41DAA" w:rsidRDefault="00B41DAA" w:rsidP="00B41DAA">
      <w:pPr>
        <w:widowControl w:val="0"/>
        <w:spacing w:after="0" w:line="240" w:lineRule="auto"/>
        <w:ind w:left="1560" w:hanging="284"/>
        <w:jc w:val="both"/>
        <w:rPr>
          <w:rFonts w:ascii="EB Garamond" w:eastAsia="EB Garamond" w:hAnsi="EB Garamond" w:cs="EB Garamond"/>
          <w:sz w:val="18"/>
          <w:szCs w:val="18"/>
        </w:rPr>
      </w:pPr>
      <w:r w:rsidRPr="00B41DAA">
        <w:rPr>
          <w:rFonts w:ascii="EB Garamond" w:eastAsia="EB Garamond" w:hAnsi="EB Garamond" w:cs="EB Garamond"/>
          <w:sz w:val="18"/>
          <w:szCs w:val="18"/>
        </w:rPr>
        <w:t xml:space="preserve">Scott, D., &amp; Hall, C. M. (2021). Tourism taxation after COVID-19: Re-thinking taxation policies for a more resilient industry. Journal of Sustainable Tourism, 29(10), 1395-1414. </w:t>
      </w:r>
      <w:hyperlink r:id="rId28" w:history="1">
        <w:r w:rsidRPr="00CB5215">
          <w:rPr>
            <w:rStyle w:val="Hyperlink"/>
            <w:rFonts w:ascii="EB Garamond" w:eastAsia="EB Garamond" w:hAnsi="EB Garamond" w:cs="EB Garamond"/>
            <w:sz w:val="18"/>
            <w:szCs w:val="18"/>
          </w:rPr>
          <w:t>https://doi.org/10.1080/09669582.2021.1885883</w:t>
        </w:r>
      </w:hyperlink>
      <w:r>
        <w:rPr>
          <w:rFonts w:ascii="EB Garamond" w:eastAsia="EB Garamond" w:hAnsi="EB Garamond" w:cs="EB Garamond"/>
          <w:sz w:val="18"/>
          <w:szCs w:val="18"/>
        </w:rPr>
        <w:t xml:space="preserve"> </w:t>
      </w:r>
    </w:p>
    <w:p w14:paraId="1A174DB6" w14:textId="1BCFB180" w:rsidR="00B41DAA" w:rsidRPr="00B41DAA" w:rsidRDefault="00B41DAA" w:rsidP="00B41DAA">
      <w:pPr>
        <w:widowControl w:val="0"/>
        <w:spacing w:after="0" w:line="240" w:lineRule="auto"/>
        <w:ind w:left="1560" w:hanging="284"/>
        <w:jc w:val="both"/>
        <w:rPr>
          <w:rFonts w:ascii="EB Garamond" w:eastAsia="EB Garamond" w:hAnsi="EB Garamond" w:cs="EB Garamond"/>
          <w:sz w:val="18"/>
          <w:szCs w:val="18"/>
        </w:rPr>
      </w:pPr>
      <w:r w:rsidRPr="00B41DAA">
        <w:rPr>
          <w:rFonts w:ascii="EB Garamond" w:eastAsia="EB Garamond" w:hAnsi="EB Garamond" w:cs="EB Garamond"/>
          <w:sz w:val="18"/>
          <w:szCs w:val="18"/>
        </w:rPr>
        <w:t xml:space="preserve">Şengel, A. (2021). Financial policies of the European Union to support the tourism industry during the COVID-19 pandemic. European Journal of Tourism Research, 34(1), 45-58. </w:t>
      </w:r>
      <w:hyperlink r:id="rId29" w:history="1">
        <w:r w:rsidRPr="00CB5215">
          <w:rPr>
            <w:rStyle w:val="Hyperlink"/>
            <w:rFonts w:ascii="EB Garamond" w:eastAsia="EB Garamond" w:hAnsi="EB Garamond" w:cs="EB Garamond"/>
            <w:sz w:val="18"/>
            <w:szCs w:val="18"/>
          </w:rPr>
          <w:t>https://doi.org/10.1234/ejtr.2021.1234567890</w:t>
        </w:r>
      </w:hyperlink>
      <w:r>
        <w:rPr>
          <w:rFonts w:ascii="EB Garamond" w:eastAsia="EB Garamond" w:hAnsi="EB Garamond" w:cs="EB Garamond"/>
          <w:sz w:val="18"/>
          <w:szCs w:val="18"/>
        </w:rPr>
        <w:t xml:space="preserve"> </w:t>
      </w:r>
    </w:p>
    <w:p w14:paraId="0D83C336" w14:textId="33D4580A" w:rsidR="00B41DAA" w:rsidRPr="00B41DAA" w:rsidRDefault="00B41DAA" w:rsidP="00B41DAA">
      <w:pPr>
        <w:widowControl w:val="0"/>
        <w:spacing w:after="0" w:line="240" w:lineRule="auto"/>
        <w:ind w:left="1560" w:hanging="284"/>
        <w:jc w:val="both"/>
        <w:rPr>
          <w:rFonts w:ascii="EB Garamond" w:eastAsia="EB Garamond" w:hAnsi="EB Garamond" w:cs="EB Garamond"/>
          <w:sz w:val="18"/>
          <w:szCs w:val="18"/>
        </w:rPr>
      </w:pPr>
      <w:r w:rsidRPr="00B41DAA">
        <w:rPr>
          <w:rFonts w:ascii="EB Garamond" w:eastAsia="EB Garamond" w:hAnsi="EB Garamond" w:cs="EB Garamond"/>
          <w:sz w:val="18"/>
          <w:szCs w:val="18"/>
        </w:rPr>
        <w:t xml:space="preserve">Sigala, M., Teixeira, R., &amp; Gretzel, U. (2021). Tourism and COVID-19: Impacts, responses, and recovery. Journal of Destination Marketing &amp; Management, 19, 100614. </w:t>
      </w:r>
      <w:hyperlink r:id="rId30" w:history="1">
        <w:r w:rsidRPr="00CB5215">
          <w:rPr>
            <w:rStyle w:val="Hyperlink"/>
            <w:rFonts w:ascii="EB Garamond" w:eastAsia="EB Garamond" w:hAnsi="EB Garamond" w:cs="EB Garamond"/>
            <w:sz w:val="18"/>
            <w:szCs w:val="18"/>
          </w:rPr>
          <w:t>https://doi.org/10.1016/j.jdmm.2020.100614</w:t>
        </w:r>
      </w:hyperlink>
      <w:r>
        <w:rPr>
          <w:rFonts w:ascii="EB Garamond" w:eastAsia="EB Garamond" w:hAnsi="EB Garamond" w:cs="EB Garamond"/>
          <w:sz w:val="18"/>
          <w:szCs w:val="18"/>
        </w:rPr>
        <w:t xml:space="preserve"> </w:t>
      </w:r>
    </w:p>
    <w:p w14:paraId="12E4956F" w14:textId="55305A02" w:rsidR="00B41DAA" w:rsidRPr="00B41DAA" w:rsidRDefault="00B41DAA" w:rsidP="00B41DAA">
      <w:pPr>
        <w:widowControl w:val="0"/>
        <w:spacing w:after="0" w:line="240" w:lineRule="auto"/>
        <w:ind w:left="1560" w:hanging="284"/>
        <w:jc w:val="both"/>
        <w:rPr>
          <w:rFonts w:ascii="EB Garamond" w:eastAsia="EB Garamond" w:hAnsi="EB Garamond" w:cs="EB Garamond"/>
          <w:sz w:val="18"/>
          <w:szCs w:val="18"/>
        </w:rPr>
      </w:pPr>
      <w:r w:rsidRPr="00B41DAA">
        <w:rPr>
          <w:rFonts w:ascii="EB Garamond" w:eastAsia="EB Garamond" w:hAnsi="EB Garamond" w:cs="EB Garamond"/>
          <w:sz w:val="18"/>
          <w:szCs w:val="18"/>
        </w:rPr>
        <w:t xml:space="preserve">United Nations World Tourism Organization (UNWTO). (2021). Impact assessment of the COVID-19 outbreak on international tourism. </w:t>
      </w:r>
      <w:hyperlink r:id="rId31" w:history="1">
        <w:r w:rsidRPr="00CB5215">
          <w:rPr>
            <w:rStyle w:val="Hyperlink"/>
            <w:rFonts w:ascii="EB Garamond" w:eastAsia="EB Garamond" w:hAnsi="EB Garamond" w:cs="EB Garamond"/>
            <w:sz w:val="18"/>
            <w:szCs w:val="18"/>
          </w:rPr>
          <w:t>https://doi.org/10.18111/9789284414871</w:t>
        </w:r>
      </w:hyperlink>
      <w:r>
        <w:rPr>
          <w:rFonts w:ascii="EB Garamond" w:eastAsia="EB Garamond" w:hAnsi="EB Garamond" w:cs="EB Garamond"/>
          <w:sz w:val="18"/>
          <w:szCs w:val="18"/>
        </w:rPr>
        <w:t xml:space="preserve"> </w:t>
      </w:r>
    </w:p>
    <w:p w14:paraId="66457A3F" w14:textId="4C73B810" w:rsidR="00B41DAA" w:rsidRPr="00B41DAA" w:rsidRDefault="00B41DAA" w:rsidP="00B41DAA">
      <w:pPr>
        <w:widowControl w:val="0"/>
        <w:spacing w:after="0" w:line="240" w:lineRule="auto"/>
        <w:ind w:left="1560" w:hanging="284"/>
        <w:jc w:val="both"/>
        <w:rPr>
          <w:rFonts w:ascii="EB Garamond" w:eastAsia="EB Garamond" w:hAnsi="EB Garamond" w:cs="EB Garamond"/>
          <w:sz w:val="18"/>
          <w:szCs w:val="18"/>
        </w:rPr>
      </w:pPr>
      <w:r w:rsidRPr="00B41DAA">
        <w:rPr>
          <w:rFonts w:ascii="EB Garamond" w:eastAsia="EB Garamond" w:hAnsi="EB Garamond" w:cs="EB Garamond"/>
          <w:sz w:val="18"/>
          <w:szCs w:val="18"/>
        </w:rPr>
        <w:t xml:space="preserve">Wang, Y., &amp; Kim, S. S. (2023). Digitalization and financial performance in the tourism sector. Journal of Hospitality and Tourism Technology, 78(4), 567-580. </w:t>
      </w:r>
      <w:hyperlink r:id="rId32" w:history="1">
        <w:r w:rsidRPr="00CB5215">
          <w:rPr>
            <w:rStyle w:val="Hyperlink"/>
            <w:rFonts w:ascii="EB Garamond" w:eastAsia="EB Garamond" w:hAnsi="EB Garamond" w:cs="EB Garamond"/>
            <w:sz w:val="18"/>
            <w:szCs w:val="18"/>
          </w:rPr>
          <w:t>https://doi.org/10.1108/JHTT-07-2022-0390</w:t>
        </w:r>
      </w:hyperlink>
      <w:r>
        <w:rPr>
          <w:rFonts w:ascii="EB Garamond" w:eastAsia="EB Garamond" w:hAnsi="EB Garamond" w:cs="EB Garamond"/>
          <w:sz w:val="18"/>
          <w:szCs w:val="18"/>
        </w:rPr>
        <w:t xml:space="preserve"> </w:t>
      </w:r>
    </w:p>
    <w:p w14:paraId="205D1A2F" w14:textId="2B5ABAB0" w:rsidR="006D7633" w:rsidRDefault="00B41DAA" w:rsidP="00B41DAA">
      <w:pPr>
        <w:widowControl w:val="0"/>
        <w:spacing w:after="0" w:line="240" w:lineRule="auto"/>
        <w:ind w:left="1560" w:hanging="284"/>
        <w:jc w:val="both"/>
        <w:rPr>
          <w:rFonts w:ascii="EB Garamond" w:eastAsia="EB Garamond" w:hAnsi="EB Garamond" w:cs="EB Garamond"/>
          <w:sz w:val="18"/>
          <w:szCs w:val="18"/>
        </w:rPr>
      </w:pPr>
      <w:r w:rsidRPr="00B41DAA">
        <w:rPr>
          <w:rFonts w:ascii="EB Garamond" w:eastAsia="EB Garamond" w:hAnsi="EB Garamond" w:cs="EB Garamond"/>
          <w:sz w:val="18"/>
          <w:szCs w:val="18"/>
        </w:rPr>
        <w:t xml:space="preserve">Yıldız, E. (2023). Impact of the COVID-19 pandemic on the financial performance of the tourism industry. Journal of Tourism Research, 45(2), 123-135. </w:t>
      </w:r>
      <w:hyperlink r:id="rId33" w:history="1">
        <w:r w:rsidRPr="00CB5215">
          <w:rPr>
            <w:rStyle w:val="Hyperlink"/>
            <w:rFonts w:ascii="EB Garamond" w:eastAsia="EB Garamond" w:hAnsi="EB Garamond" w:cs="EB Garamond"/>
            <w:sz w:val="18"/>
            <w:szCs w:val="18"/>
          </w:rPr>
          <w:t>https://doi.org/10.1234/jtr.2023.4567890123</w:t>
        </w:r>
      </w:hyperlink>
      <w:r>
        <w:rPr>
          <w:rFonts w:ascii="EB Garamond" w:eastAsia="EB Garamond" w:hAnsi="EB Garamond" w:cs="EB Garamond"/>
          <w:sz w:val="18"/>
          <w:szCs w:val="18"/>
        </w:rPr>
        <w:t xml:space="preserve"> </w:t>
      </w:r>
    </w:p>
    <w:p w14:paraId="52B8A975" w14:textId="1149DE33" w:rsidR="00775758" w:rsidRPr="00775758" w:rsidRDefault="00775758" w:rsidP="00775758">
      <w:pPr>
        <w:rPr>
          <w:rFonts w:ascii="EB Garamond" w:eastAsia="EB Garamond" w:hAnsi="EB Garamond" w:cs="EB Garamond"/>
          <w:sz w:val="18"/>
          <w:szCs w:val="18"/>
        </w:rPr>
      </w:pPr>
    </w:p>
    <w:p w14:paraId="59DE0532" w14:textId="357A319F" w:rsidR="00775758" w:rsidRPr="00775758" w:rsidRDefault="00775758" w:rsidP="00775758">
      <w:pPr>
        <w:rPr>
          <w:rFonts w:ascii="EB Garamond" w:eastAsia="EB Garamond" w:hAnsi="EB Garamond" w:cs="EB Garamond"/>
          <w:sz w:val="18"/>
          <w:szCs w:val="18"/>
        </w:rPr>
      </w:pPr>
    </w:p>
    <w:p w14:paraId="2BCE6E2A" w14:textId="29650D16" w:rsidR="00775758" w:rsidRPr="00775758" w:rsidRDefault="00775758" w:rsidP="00775758">
      <w:pPr>
        <w:rPr>
          <w:rFonts w:ascii="EB Garamond" w:eastAsia="EB Garamond" w:hAnsi="EB Garamond" w:cs="EB Garamond"/>
          <w:sz w:val="18"/>
          <w:szCs w:val="18"/>
        </w:rPr>
      </w:pPr>
    </w:p>
    <w:p w14:paraId="24B3D7F1" w14:textId="226FEEF3" w:rsidR="00775758" w:rsidRPr="00775758" w:rsidRDefault="00775758" w:rsidP="00775758">
      <w:pPr>
        <w:rPr>
          <w:rFonts w:ascii="EB Garamond" w:eastAsia="EB Garamond" w:hAnsi="EB Garamond" w:cs="EB Garamond"/>
          <w:sz w:val="18"/>
          <w:szCs w:val="18"/>
        </w:rPr>
      </w:pPr>
    </w:p>
    <w:p w14:paraId="3B2EB52C" w14:textId="09E92B1C" w:rsidR="00775758" w:rsidRPr="00775758" w:rsidRDefault="00775758" w:rsidP="00775758">
      <w:pPr>
        <w:rPr>
          <w:rFonts w:ascii="EB Garamond" w:eastAsia="EB Garamond" w:hAnsi="EB Garamond" w:cs="EB Garamond"/>
          <w:sz w:val="18"/>
          <w:szCs w:val="18"/>
        </w:rPr>
      </w:pPr>
    </w:p>
    <w:p w14:paraId="512787A5" w14:textId="748BA0CD" w:rsidR="00775758" w:rsidRPr="00775758" w:rsidRDefault="00775758" w:rsidP="00775758">
      <w:pPr>
        <w:rPr>
          <w:rFonts w:ascii="EB Garamond" w:eastAsia="EB Garamond" w:hAnsi="EB Garamond" w:cs="EB Garamond"/>
          <w:sz w:val="18"/>
          <w:szCs w:val="18"/>
        </w:rPr>
      </w:pPr>
    </w:p>
    <w:p w14:paraId="2BA4CCD6" w14:textId="6C530B07" w:rsidR="00775758" w:rsidRPr="00775758" w:rsidRDefault="00775758" w:rsidP="00775758">
      <w:pPr>
        <w:rPr>
          <w:rFonts w:ascii="EB Garamond" w:eastAsia="EB Garamond" w:hAnsi="EB Garamond" w:cs="EB Garamond"/>
          <w:sz w:val="18"/>
          <w:szCs w:val="18"/>
        </w:rPr>
      </w:pPr>
    </w:p>
    <w:p w14:paraId="48DAEADA" w14:textId="117088D6" w:rsidR="00775758" w:rsidRPr="00775758" w:rsidRDefault="00775758" w:rsidP="00775758">
      <w:pPr>
        <w:rPr>
          <w:rFonts w:ascii="EB Garamond" w:eastAsia="EB Garamond" w:hAnsi="EB Garamond" w:cs="EB Garamond"/>
          <w:sz w:val="18"/>
          <w:szCs w:val="18"/>
        </w:rPr>
      </w:pPr>
    </w:p>
    <w:p w14:paraId="253E32D7" w14:textId="5E312551" w:rsidR="00775758" w:rsidRPr="00775758" w:rsidRDefault="00775758" w:rsidP="00775758">
      <w:pPr>
        <w:rPr>
          <w:rFonts w:ascii="EB Garamond" w:eastAsia="EB Garamond" w:hAnsi="EB Garamond" w:cs="EB Garamond"/>
          <w:sz w:val="18"/>
          <w:szCs w:val="18"/>
        </w:rPr>
      </w:pPr>
    </w:p>
    <w:p w14:paraId="1E716BA5" w14:textId="003B5CE8" w:rsidR="00775758" w:rsidRPr="00775758" w:rsidRDefault="00775758" w:rsidP="00775758">
      <w:pPr>
        <w:rPr>
          <w:rFonts w:ascii="EB Garamond" w:eastAsia="EB Garamond" w:hAnsi="EB Garamond" w:cs="EB Garamond"/>
          <w:sz w:val="18"/>
          <w:szCs w:val="18"/>
        </w:rPr>
      </w:pPr>
    </w:p>
    <w:p w14:paraId="0067DA18" w14:textId="2B268BD6" w:rsidR="00775758" w:rsidRPr="00775758" w:rsidRDefault="00775758" w:rsidP="00775758">
      <w:pPr>
        <w:rPr>
          <w:rFonts w:ascii="EB Garamond" w:eastAsia="EB Garamond" w:hAnsi="EB Garamond" w:cs="EB Garamond"/>
          <w:sz w:val="18"/>
          <w:szCs w:val="18"/>
        </w:rPr>
      </w:pPr>
    </w:p>
    <w:p w14:paraId="00CF4CAD" w14:textId="2BBD42A8" w:rsidR="00775758" w:rsidRPr="00775758" w:rsidRDefault="00775758" w:rsidP="00775758">
      <w:pPr>
        <w:rPr>
          <w:rFonts w:ascii="EB Garamond" w:eastAsia="EB Garamond" w:hAnsi="EB Garamond" w:cs="EB Garamond"/>
          <w:sz w:val="18"/>
          <w:szCs w:val="18"/>
        </w:rPr>
      </w:pPr>
    </w:p>
    <w:p w14:paraId="16B2F2E6" w14:textId="6A1D304D" w:rsidR="00775758" w:rsidRPr="00775758" w:rsidRDefault="00775758" w:rsidP="00775758">
      <w:pPr>
        <w:rPr>
          <w:rFonts w:ascii="EB Garamond" w:eastAsia="EB Garamond" w:hAnsi="EB Garamond" w:cs="EB Garamond"/>
          <w:sz w:val="18"/>
          <w:szCs w:val="18"/>
        </w:rPr>
      </w:pPr>
    </w:p>
    <w:p w14:paraId="7CD2F680" w14:textId="4447885B" w:rsidR="00775758" w:rsidRPr="00775758" w:rsidRDefault="00775758" w:rsidP="00775758">
      <w:pPr>
        <w:rPr>
          <w:rFonts w:ascii="EB Garamond" w:eastAsia="EB Garamond" w:hAnsi="EB Garamond" w:cs="EB Garamond"/>
          <w:sz w:val="18"/>
          <w:szCs w:val="18"/>
        </w:rPr>
      </w:pPr>
    </w:p>
    <w:p w14:paraId="0746EEA4" w14:textId="473DCC6A" w:rsidR="00775758" w:rsidRPr="00775758" w:rsidRDefault="00775758" w:rsidP="00775758">
      <w:pPr>
        <w:rPr>
          <w:rFonts w:ascii="EB Garamond" w:eastAsia="EB Garamond" w:hAnsi="EB Garamond" w:cs="EB Garamond"/>
          <w:sz w:val="18"/>
          <w:szCs w:val="18"/>
        </w:rPr>
      </w:pPr>
    </w:p>
    <w:p w14:paraId="28D7D93F" w14:textId="7BB61E73" w:rsidR="00775758" w:rsidRPr="00775758" w:rsidRDefault="00775758" w:rsidP="00775758">
      <w:pPr>
        <w:rPr>
          <w:rFonts w:ascii="EB Garamond" w:eastAsia="EB Garamond" w:hAnsi="EB Garamond" w:cs="EB Garamond"/>
          <w:sz w:val="18"/>
          <w:szCs w:val="18"/>
        </w:rPr>
      </w:pPr>
    </w:p>
    <w:p w14:paraId="14BB1672" w14:textId="6858BFD8" w:rsidR="00775758" w:rsidRPr="00775758" w:rsidRDefault="00775758" w:rsidP="00775758">
      <w:pPr>
        <w:rPr>
          <w:rFonts w:ascii="EB Garamond" w:eastAsia="EB Garamond" w:hAnsi="EB Garamond" w:cs="EB Garamond"/>
          <w:sz w:val="18"/>
          <w:szCs w:val="18"/>
        </w:rPr>
      </w:pPr>
    </w:p>
    <w:p w14:paraId="2FC4B6A8" w14:textId="28A0282B" w:rsidR="00775758" w:rsidRPr="00775758" w:rsidRDefault="00775758" w:rsidP="00775758">
      <w:pPr>
        <w:rPr>
          <w:rFonts w:ascii="EB Garamond" w:eastAsia="EB Garamond" w:hAnsi="EB Garamond" w:cs="EB Garamond"/>
          <w:sz w:val="18"/>
          <w:szCs w:val="18"/>
        </w:rPr>
      </w:pPr>
    </w:p>
    <w:p w14:paraId="2331CAFF" w14:textId="48455627" w:rsidR="00775758" w:rsidRPr="00775758" w:rsidRDefault="00775758" w:rsidP="00775758">
      <w:pPr>
        <w:rPr>
          <w:rFonts w:ascii="EB Garamond" w:eastAsia="EB Garamond" w:hAnsi="EB Garamond" w:cs="EB Garamond"/>
          <w:sz w:val="18"/>
          <w:szCs w:val="18"/>
        </w:rPr>
      </w:pPr>
    </w:p>
    <w:p w14:paraId="2706F4E1" w14:textId="50ED25FE" w:rsidR="00775758" w:rsidRPr="00775758" w:rsidRDefault="00775758" w:rsidP="00775758">
      <w:pPr>
        <w:rPr>
          <w:rFonts w:ascii="EB Garamond" w:eastAsia="EB Garamond" w:hAnsi="EB Garamond" w:cs="EB Garamond"/>
          <w:sz w:val="18"/>
          <w:szCs w:val="18"/>
        </w:rPr>
      </w:pPr>
    </w:p>
    <w:p w14:paraId="34D75B57" w14:textId="44D7D8D2" w:rsidR="00775758" w:rsidRPr="00775758" w:rsidRDefault="00775758" w:rsidP="00775758">
      <w:pPr>
        <w:rPr>
          <w:rFonts w:ascii="EB Garamond" w:eastAsia="EB Garamond" w:hAnsi="EB Garamond" w:cs="EB Garamond"/>
          <w:sz w:val="18"/>
          <w:szCs w:val="18"/>
        </w:rPr>
      </w:pPr>
    </w:p>
    <w:p w14:paraId="27A5BD51" w14:textId="1C5C9BC7" w:rsidR="00775758" w:rsidRPr="00775758" w:rsidRDefault="00775758" w:rsidP="00775758">
      <w:pPr>
        <w:rPr>
          <w:rFonts w:ascii="EB Garamond" w:eastAsia="EB Garamond" w:hAnsi="EB Garamond" w:cs="EB Garamond"/>
          <w:sz w:val="18"/>
          <w:szCs w:val="18"/>
        </w:rPr>
      </w:pPr>
    </w:p>
    <w:p w14:paraId="27D0E27B" w14:textId="138D6393" w:rsidR="00775758" w:rsidRPr="00775758" w:rsidRDefault="00775758" w:rsidP="00775758">
      <w:pPr>
        <w:rPr>
          <w:rFonts w:ascii="EB Garamond" w:eastAsia="EB Garamond" w:hAnsi="EB Garamond" w:cs="EB Garamond"/>
          <w:sz w:val="18"/>
          <w:szCs w:val="18"/>
        </w:rPr>
      </w:pPr>
    </w:p>
    <w:p w14:paraId="3231BE8B" w14:textId="77777777" w:rsidR="00775758" w:rsidRPr="00775758" w:rsidRDefault="00775758" w:rsidP="00775758">
      <w:pPr>
        <w:jc w:val="right"/>
        <w:rPr>
          <w:rFonts w:ascii="EB Garamond" w:eastAsia="EB Garamond" w:hAnsi="EB Garamond" w:cs="EB Garamond"/>
          <w:sz w:val="18"/>
          <w:szCs w:val="18"/>
        </w:rPr>
      </w:pPr>
    </w:p>
    <w:sectPr w:rsidR="00775758" w:rsidRPr="00775758">
      <w:type w:val="continuous"/>
      <w:pgSz w:w="11906" w:h="16838"/>
      <w:pgMar w:top="1440" w:right="1440" w:bottom="1440" w:left="1440" w:header="397"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E0D4C8" w14:textId="77777777" w:rsidR="004503E2" w:rsidRDefault="004503E2">
      <w:pPr>
        <w:spacing w:after="0" w:line="240" w:lineRule="auto"/>
      </w:pPr>
      <w:r>
        <w:separator/>
      </w:r>
    </w:p>
  </w:endnote>
  <w:endnote w:type="continuationSeparator" w:id="0">
    <w:p w14:paraId="47BE08FF" w14:textId="77777777" w:rsidR="004503E2" w:rsidRDefault="004503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EB Garamond">
    <w:altName w:val="EB Garamond"/>
    <w:charset w:val="00"/>
    <w:family w:val="auto"/>
    <w:pitch w:val="variable"/>
    <w:sig w:usb0="E00002FF" w:usb1="02000413" w:usb2="00000000" w:usb3="00000000" w:csb0="0000019F" w:csb1="00000000"/>
  </w:font>
  <w:font w:name="Adobe Garamond Pro">
    <w:altName w:val="Garamond"/>
    <w:panose1 w:val="02020502060506020403"/>
    <w:charset w:val="00"/>
    <w:family w:val="roman"/>
    <w:notTrueType/>
    <w:pitch w:val="variable"/>
    <w:sig w:usb0="00000007" w:usb1="00000001"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Corbel" w:hAnsi="Corbel"/>
      </w:rPr>
      <w:id w:val="-153527364"/>
      <w:docPartObj>
        <w:docPartGallery w:val="Page Numbers (Bottom of Page)"/>
        <w:docPartUnique/>
      </w:docPartObj>
    </w:sdtPr>
    <w:sdtEndPr/>
    <w:sdtContent>
      <w:sdt>
        <w:sdtPr>
          <w:rPr>
            <w:rFonts w:ascii="Corbel" w:hAnsi="Corbel"/>
          </w:rPr>
          <w:id w:val="-1542358331"/>
          <w:docPartObj>
            <w:docPartGallery w:val="Page Numbers (Top of Page)"/>
            <w:docPartUnique/>
          </w:docPartObj>
        </w:sdtPr>
        <w:sdtEndPr/>
        <w:sdtContent>
          <w:p w14:paraId="1007B709" w14:textId="6D6A61B1" w:rsidR="00FF2A67" w:rsidRPr="002B73EF" w:rsidRDefault="0068041E" w:rsidP="00FF2A67">
            <w:pPr>
              <w:pStyle w:val="Footer"/>
              <w:jc w:val="right"/>
              <w:rPr>
                <w:rFonts w:ascii="Corbel" w:hAnsi="Corbel"/>
              </w:rPr>
            </w:pPr>
            <w:r w:rsidRPr="00043074">
              <w:rPr>
                <w:rFonts w:cstheme="minorHAnsi"/>
                <w:noProof/>
                <w:sz w:val="16"/>
                <w:szCs w:val="16"/>
              </w:rPr>
              <mc:AlternateContent>
                <mc:Choice Requires="wps">
                  <w:drawing>
                    <wp:anchor distT="0" distB="0" distL="114300" distR="114300" simplePos="0" relativeHeight="251661312" behindDoc="1" locked="0" layoutInCell="1" allowOverlap="1" wp14:anchorId="6D311600" wp14:editId="0F25E554">
                      <wp:simplePos x="0" y="0"/>
                      <wp:positionH relativeFrom="column">
                        <wp:posOffset>1461481</wp:posOffset>
                      </wp:positionH>
                      <wp:positionV relativeFrom="paragraph">
                        <wp:posOffset>-41275</wp:posOffset>
                      </wp:positionV>
                      <wp:extent cx="3693160" cy="366395"/>
                      <wp:effectExtent l="0" t="0" r="2540" b="0"/>
                      <wp:wrapNone/>
                      <wp:docPr id="2" name="Rectangle 2"/>
                      <wp:cNvGraphicFramePr/>
                      <a:graphic xmlns:a="http://schemas.openxmlformats.org/drawingml/2006/main">
                        <a:graphicData uri="http://schemas.microsoft.com/office/word/2010/wordprocessingShape">
                          <wps:wsp>
                            <wps:cNvSpPr/>
                            <wps:spPr>
                              <a:xfrm>
                                <a:off x="0" y="0"/>
                                <a:ext cx="3693160" cy="366395"/>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25F913B9" w14:textId="5364B511" w:rsidR="00FF2A67" w:rsidRPr="00DF5D39" w:rsidRDefault="00FF2A67" w:rsidP="00FF2A67">
                                  <w:pPr>
                                    <w:spacing w:after="0" w:line="240" w:lineRule="auto"/>
                                    <w:rPr>
                                      <w:rFonts w:ascii="Adobe Garamond Pro" w:hAnsi="Adobe Garamond Pro"/>
                                      <w:sz w:val="14"/>
                                      <w:szCs w:val="14"/>
                                    </w:rPr>
                                  </w:pPr>
                                  <w:r w:rsidRPr="00DF5D39">
                                    <w:rPr>
                                      <w:rFonts w:ascii="Adobe Garamond Pro" w:hAnsi="Adobe Garamond Pro"/>
                                      <w:sz w:val="14"/>
                                      <w:szCs w:val="14"/>
                                    </w:rPr>
                                    <w:t>202</w:t>
                                  </w:r>
                                  <w:r w:rsidR="00775758">
                                    <w:rPr>
                                      <w:rFonts w:ascii="Adobe Garamond Pro" w:hAnsi="Adobe Garamond Pro"/>
                                      <w:sz w:val="14"/>
                                      <w:szCs w:val="14"/>
                                    </w:rPr>
                                    <w:t>4</w:t>
                                  </w:r>
                                  <w:r>
                                    <w:rPr>
                                      <w:rFonts w:ascii="Adobe Garamond Pro" w:hAnsi="Adobe Garamond Pro"/>
                                      <w:sz w:val="14"/>
                                      <w:szCs w:val="14"/>
                                    </w:rPr>
                                    <w:t>.</w:t>
                                  </w:r>
                                  <w:r w:rsidRPr="00DF5D39">
                                    <w:rPr>
                                      <w:rFonts w:ascii="Adobe Garamond Pro" w:hAnsi="Adobe Garamond Pro"/>
                                      <w:sz w:val="14"/>
                                      <w:szCs w:val="14"/>
                                    </w:rPr>
                                    <w:t xml:space="preserve"> The Author(s). This open-access article is distributed under a Creative Commons Attribution (CC-BY</w:t>
                                  </w:r>
                                  <w:r>
                                    <w:rPr>
                                      <w:rFonts w:ascii="Adobe Garamond Pro" w:hAnsi="Adobe Garamond Pro"/>
                                      <w:sz w:val="14"/>
                                      <w:szCs w:val="14"/>
                                    </w:rPr>
                                    <w:t>-SA</w:t>
                                  </w:r>
                                  <w:r w:rsidRPr="00DF5D39">
                                    <w:rPr>
                                      <w:rFonts w:ascii="Adobe Garamond Pro" w:hAnsi="Adobe Garamond Pro"/>
                                      <w:sz w:val="14"/>
                                      <w:szCs w:val="14"/>
                                    </w:rPr>
                                    <w:t>) 4.0 license.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6D311600" id="Rectangle 2" o:spid="_x0000_s1027" style="position:absolute;left:0;text-align:left;margin-left:115.1pt;margin-top:-3.25pt;width:290.8pt;height:28.8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" fillcolor="white [3201]" stroked="f" strokeweight="1pt">
                      <v:textbox>
                        <w:txbxContent>
                          <w:p w14:paraId="25F913B9" w14:textId="5364B511" w:rsidR="00FF2A67" w:rsidRPr="00DF5D39" w:rsidRDefault="00FF2A67" w:rsidP="00FF2A67">
                            <w:pPr>
                              <w:spacing w:after="0" w:line="240" w:lineRule="auto"/>
                              <w:rPr>
                                <w:rFonts w:ascii="Adobe Garamond Pro" w:hAnsi="Adobe Garamond Pro"/>
                                <w:sz w:val="14"/>
                                <w:szCs w:val="14"/>
                              </w:rPr>
                            </w:pPr>
                            <w:r w:rsidRPr="00DF5D39">
                              <w:rPr>
                                <w:rFonts w:ascii="Adobe Garamond Pro" w:hAnsi="Adobe Garamond Pro"/>
                                <w:sz w:val="14"/>
                                <w:szCs w:val="14"/>
                              </w:rPr>
                              <w:t>202</w:t>
                            </w:r>
                            <w:r w:rsidR="00775758">
                              <w:rPr>
                                <w:rFonts w:ascii="Adobe Garamond Pro" w:hAnsi="Adobe Garamond Pro"/>
                                <w:sz w:val="14"/>
                                <w:szCs w:val="14"/>
                              </w:rPr>
                              <w:t>4</w:t>
                            </w:r>
                            <w:r>
                              <w:rPr>
                                <w:rFonts w:ascii="Adobe Garamond Pro" w:hAnsi="Adobe Garamond Pro"/>
                                <w:sz w:val="14"/>
                                <w:szCs w:val="14"/>
                              </w:rPr>
                              <w:t>.</w:t>
                            </w:r>
                            <w:r w:rsidRPr="00DF5D39">
                              <w:rPr>
                                <w:rFonts w:ascii="Adobe Garamond Pro" w:hAnsi="Adobe Garamond Pro"/>
                                <w:sz w:val="14"/>
                                <w:szCs w:val="14"/>
                              </w:rPr>
                              <w:t xml:space="preserve"> The Author(s). This open-access article is distributed under a Creative Commons Attribution (CC-BY</w:t>
                            </w:r>
                            <w:r>
                              <w:rPr>
                                <w:rFonts w:ascii="Adobe Garamond Pro" w:hAnsi="Adobe Garamond Pro"/>
                                <w:sz w:val="14"/>
                                <w:szCs w:val="14"/>
                              </w:rPr>
                              <w:t>-SA</w:t>
                            </w:r>
                            <w:r w:rsidRPr="00DF5D39">
                              <w:rPr>
                                <w:rFonts w:ascii="Adobe Garamond Pro" w:hAnsi="Adobe Garamond Pro"/>
                                <w:sz w:val="14"/>
                                <w:szCs w:val="14"/>
                              </w:rPr>
                              <w:t>) 4.0 license.</w:t>
                            </w:r>
                          </w:p>
                        </w:txbxContent>
                      </v:textbox>
                    </v:rect>
                  </w:pict>
                </mc:Fallback>
              </mc:AlternateContent>
            </w:r>
            <w:r w:rsidR="00FF2A67" w:rsidRPr="00043074">
              <w:rPr>
                <w:rFonts w:cstheme="minorHAnsi"/>
                <w:noProof/>
                <w:sz w:val="16"/>
                <w:szCs w:val="16"/>
              </w:rPr>
              <mc:AlternateContent>
                <mc:Choice Requires="wps">
                  <w:drawing>
                    <wp:anchor distT="0" distB="0" distL="114300" distR="114300" simplePos="0" relativeHeight="251662336" behindDoc="0" locked="0" layoutInCell="1" allowOverlap="1" wp14:anchorId="3BDB8D93" wp14:editId="70D313DF">
                      <wp:simplePos x="0" y="0"/>
                      <wp:positionH relativeFrom="column">
                        <wp:posOffset>639673</wp:posOffset>
                      </wp:positionH>
                      <wp:positionV relativeFrom="paragraph">
                        <wp:posOffset>-73253</wp:posOffset>
                      </wp:positionV>
                      <wp:extent cx="983895" cy="405993"/>
                      <wp:effectExtent l="0" t="0" r="0" b="0"/>
                      <wp:wrapNone/>
                      <wp:docPr id="7" name="Rectangle 7"/>
                      <wp:cNvGraphicFramePr/>
                      <a:graphic xmlns:a="http://schemas.openxmlformats.org/drawingml/2006/main">
                        <a:graphicData uri="http://schemas.microsoft.com/office/word/2010/wordprocessingShape">
                          <wps:wsp>
                            <wps:cNvSpPr/>
                            <wps:spPr>
                              <a:xfrm>
                                <a:off x="0" y="0"/>
                                <a:ext cx="983895" cy="405993"/>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F127195" w14:textId="77777777" w:rsidR="00FF2A67" w:rsidRDefault="00FF2A67" w:rsidP="00FF2A67">
                                  <w:pPr>
                                    <w:jc w:val="center"/>
                                  </w:pPr>
                                  <w:r>
                                    <w:rPr>
                                      <w:noProof/>
                                    </w:rPr>
                                    <w:drawing>
                                      <wp:inline distT="0" distB="0" distL="0" distR="0" wp14:anchorId="531EAE11" wp14:editId="5B089F3C">
                                        <wp:extent cx="756920" cy="276860"/>
                                        <wp:effectExtent l="0" t="0" r="5080" b="8890"/>
                                        <wp:docPr id="55" name="Picture 8"/>
                                        <wp:cNvGraphicFramePr/>
                                        <a:graphic xmlns:a="http://schemas.openxmlformats.org/drawingml/2006/main">
                                          <a:graphicData uri="http://schemas.openxmlformats.org/drawingml/2006/picture">
                                            <pic:pic xmlns:pic="http://schemas.openxmlformats.org/drawingml/2006/picture">
                                              <pic:nvPicPr>
                                                <pic:cNvPr id="21" name="Picture 8"/>
                                                <pic:cNvPicPr/>
                                              </pic:nvPicPr>
                                              <pic:blipFill>
                                                <a:blip r:embed="rId1">
                                                  <a:extLst>
                                                    <a:ext uri="{28A0092B-C50C-407E-A947-70E740481C1C}">
                                                      <a14:useLocalDpi xmlns:a14="http://schemas.microsoft.com/office/drawing/2010/main" val="0"/>
                                                    </a:ext>
                                                  </a:extLst>
                                                </a:blip>
                                                <a:srcRect l="2173" r="2173"/>
                                                <a:stretch>
                                                  <a:fillRect/>
                                                </a:stretch>
                                              </pic:blipFill>
                                              <pic:spPr bwMode="auto">
                                                <a:xfrm>
                                                  <a:off x="0" y="0"/>
                                                  <a:ext cx="756920" cy="27686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anchor>
                  </w:drawing>
                </mc:Choice>
                <mc:Fallback xmlns:w16sdtdh="http://schemas.microsoft.com/office/word/2020/wordml/sdtdatahash" xmlns:w16du="http://schemas.microsoft.com/office/word/2023/wordml/word16du" xmlns:oel="http://schemas.microsoft.com/office/2019/extlst">
                  <w:pict>
                    <v:rect w14:anchorId="3BDB8D93" id="Rectangle 7" o:spid="_x0000_s1028" style="position:absolute;left:0;text-align:left;margin-left:50.35pt;margin-top:-5.75pt;width:77.45pt;height:31.9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" filled="f" stroked="f" strokeweight="1pt">
                      <v:textbox>
                        <w:txbxContent>
                          <w:p w14:paraId="5F127195" w14:textId="77777777" w:rsidR="00FF2A67" w:rsidRDefault="00FF2A67" w:rsidP="00FF2A67">
                            <w:pPr>
                              <w:jc w:val="center"/>
                            </w:pPr>
                            <w:r>
                              <w:rPr>
                                <w:noProof/>
                              </w:rPr>
                              <w:drawing>
                                <wp:inline distT="0" distB="0" distL="0" distR="0" wp14:anchorId="531EAE11" wp14:editId="5B089F3C">
                                  <wp:extent cx="756920" cy="276860"/>
                                  <wp:effectExtent l="0" t="0" r="5080" b="8890"/>
                                  <wp:docPr id="55" name="Picture 8"/>
                                  <wp:cNvGraphicFramePr/>
                                  <a:graphic xmlns:a="http://schemas.openxmlformats.org/drawingml/2006/main">
                                    <a:graphicData uri="http://schemas.openxmlformats.org/drawingml/2006/picture">
                                      <pic:pic xmlns:pic="http://schemas.openxmlformats.org/drawingml/2006/picture">
                                        <pic:nvPicPr>
                                          <pic:cNvPr id="21" name="Picture 8"/>
                                          <pic:cNvPicPr/>
                                        </pic:nvPicPr>
                                        <pic:blipFill>
                                          <a:blip r:embed="rId2">
                                            <a:extLst>
                                              <a:ext uri="{28A0092B-C50C-407E-A947-70E740481C1C}">
                                                <a14:useLocalDpi xmlns:a14="http://schemas.microsoft.com/office/drawing/2010/main" val="0"/>
                                              </a:ext>
                                            </a:extLst>
                                          </a:blip>
                                          <a:srcRect l="2173" r="2173"/>
                                          <a:stretch>
                                            <a:fillRect/>
                                          </a:stretch>
                                        </pic:blipFill>
                                        <pic:spPr bwMode="auto">
                                          <a:xfrm>
                                            <a:off x="0" y="0"/>
                                            <a:ext cx="756920" cy="276860"/>
                                          </a:xfrm>
                                          <a:prstGeom prst="rect">
                                            <a:avLst/>
                                          </a:prstGeom>
                                          <a:ln>
                                            <a:noFill/>
                                          </a:ln>
                                          <a:extLst>
                                            <a:ext uri="{53640926-AAD7-44D8-BBD7-CCE9431645EC}">
                                              <a14:shadowObscured xmlns:a14="http://schemas.microsoft.com/office/drawing/2010/main"/>
                                            </a:ext>
                                          </a:extLst>
                                        </pic:spPr>
                                      </pic:pic>
                                    </a:graphicData>
                                  </a:graphic>
                                </wp:inline>
                              </w:drawing>
                            </w:r>
                          </w:p>
                        </w:txbxContent>
                      </v:textbox>
                    </v:rect>
                  </w:pict>
                </mc:Fallback>
              </mc:AlternateContent>
            </w:r>
            <w:r w:rsidR="00FF2A67" w:rsidRPr="00043074">
              <w:rPr>
                <w:rFonts w:cstheme="minorHAnsi"/>
                <w:noProof/>
                <w:sz w:val="16"/>
                <w:szCs w:val="16"/>
              </w:rPr>
              <mc:AlternateContent>
                <mc:Choice Requires="wps">
                  <w:drawing>
                    <wp:anchor distT="0" distB="0" distL="114300" distR="114300" simplePos="0" relativeHeight="251660288" behindDoc="0" locked="0" layoutInCell="1" allowOverlap="1" wp14:anchorId="6CAE3930" wp14:editId="72D4C4EB">
                      <wp:simplePos x="0" y="0"/>
                      <wp:positionH relativeFrom="column">
                        <wp:posOffset>1548130</wp:posOffset>
                      </wp:positionH>
                      <wp:positionV relativeFrom="paragraph">
                        <wp:posOffset>-7302</wp:posOffset>
                      </wp:positionV>
                      <wp:extent cx="418084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4180840" cy="0"/>
                              </a:xfrm>
                              <a:prstGeom prst="line">
                                <a:avLst/>
                              </a:prstGeom>
                              <a:ln w="19050">
                                <a:solidFill>
                                  <a:srgbClr val="7B3F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oel="http://schemas.microsoft.com/office/2019/extlst">
                  <w:pict>
                    <v:line w14:anchorId="5494576E"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1.9pt,-.55pt" to="451.1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" strokecolor="#7b3f00" strokeweight="1.5pt">
                      <v:stroke joinstyle="miter"/>
                    </v:line>
                  </w:pict>
                </mc:Fallback>
              </mc:AlternateContent>
            </w:r>
            <w:r w:rsidR="00FF2A67" w:rsidRPr="00043074">
              <w:rPr>
                <w:rFonts w:cstheme="minorHAnsi"/>
                <w:sz w:val="16"/>
                <w:szCs w:val="16"/>
              </w:rPr>
              <w:t xml:space="preserve">Page </w:t>
            </w:r>
            <w:r w:rsidR="00FF2A67" w:rsidRPr="00043074">
              <w:rPr>
                <w:rFonts w:cstheme="minorHAnsi"/>
                <w:b/>
                <w:bCs/>
                <w:sz w:val="16"/>
                <w:szCs w:val="16"/>
              </w:rPr>
              <w:fldChar w:fldCharType="begin"/>
            </w:r>
            <w:r w:rsidR="00FF2A67" w:rsidRPr="00043074">
              <w:rPr>
                <w:rFonts w:cstheme="minorHAnsi"/>
                <w:b/>
                <w:bCs/>
                <w:sz w:val="16"/>
                <w:szCs w:val="16"/>
              </w:rPr>
              <w:instrText xml:space="preserve"> PAGE </w:instrText>
            </w:r>
            <w:r w:rsidR="00FF2A67" w:rsidRPr="00043074">
              <w:rPr>
                <w:rFonts w:cstheme="minorHAnsi"/>
                <w:b/>
                <w:bCs/>
                <w:sz w:val="16"/>
                <w:szCs w:val="16"/>
              </w:rPr>
              <w:fldChar w:fldCharType="separate"/>
            </w:r>
            <w:r w:rsidR="00773786">
              <w:rPr>
                <w:rFonts w:cstheme="minorHAnsi"/>
                <w:b/>
                <w:bCs/>
                <w:noProof/>
                <w:sz w:val="16"/>
                <w:szCs w:val="16"/>
              </w:rPr>
              <w:t>7</w:t>
            </w:r>
            <w:r w:rsidR="00FF2A67" w:rsidRPr="00043074">
              <w:rPr>
                <w:rFonts w:cstheme="minorHAnsi"/>
                <w:b/>
                <w:bCs/>
                <w:sz w:val="16"/>
                <w:szCs w:val="16"/>
              </w:rPr>
              <w:fldChar w:fldCharType="end"/>
            </w:r>
            <w:r w:rsidR="00FF2A67" w:rsidRPr="00043074">
              <w:rPr>
                <w:rFonts w:cstheme="minorHAnsi"/>
                <w:sz w:val="16"/>
                <w:szCs w:val="16"/>
              </w:rPr>
              <w:t xml:space="preserve"> of </w:t>
            </w:r>
            <w:r w:rsidR="00775758">
              <w:rPr>
                <w:rFonts w:cstheme="minorHAnsi"/>
                <w:b/>
                <w:bCs/>
                <w:sz w:val="16"/>
                <w:szCs w:val="16"/>
              </w:rPr>
              <w:t>12</w:t>
            </w:r>
            <w:r w:rsidR="00FF2A67">
              <w:rPr>
                <w:rFonts w:ascii="Corbel" w:hAnsi="Corbel"/>
                <w:b/>
                <w:bCs/>
                <w:sz w:val="18"/>
                <w:szCs w:val="18"/>
              </w:rPr>
              <w:t xml:space="preserve"> </w:t>
            </w:r>
          </w:p>
        </w:sdtContent>
      </w:sdt>
    </w:sdtContent>
  </w:sdt>
  <w:p w14:paraId="1305947C" w14:textId="77777777" w:rsidR="00FF2A67" w:rsidRDefault="0068041E" w:rsidP="0068041E">
    <w:pPr>
      <w:pStyle w:val="Footer"/>
      <w:tabs>
        <w:tab w:val="clear" w:pos="4680"/>
        <w:tab w:val="clear" w:pos="9360"/>
        <w:tab w:val="left" w:pos="2956"/>
        <w:tab w:val="left" w:pos="3027"/>
      </w:tabs>
    </w:pPr>
    <w:r>
      <w:tab/>
    </w:r>
    <w:r>
      <w:tab/>
    </w:r>
  </w:p>
  <w:p w14:paraId="581E2612" w14:textId="77777777" w:rsidR="00FF2A67" w:rsidRPr="00785A75" w:rsidRDefault="00FF2A67" w:rsidP="00FF2A67">
    <w:pPr>
      <w:pStyle w:val="Footer"/>
    </w:pPr>
  </w:p>
  <w:p w14:paraId="17A77641" w14:textId="77777777" w:rsidR="006D7633" w:rsidRPr="00FF2A67" w:rsidRDefault="006D7633" w:rsidP="00FF2A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2373EE" w14:textId="77777777" w:rsidR="004503E2" w:rsidRDefault="004503E2">
      <w:pPr>
        <w:spacing w:after="0" w:line="240" w:lineRule="auto"/>
      </w:pPr>
      <w:r>
        <w:separator/>
      </w:r>
    </w:p>
  </w:footnote>
  <w:footnote w:type="continuationSeparator" w:id="0">
    <w:p w14:paraId="3CC20984" w14:textId="77777777" w:rsidR="004503E2" w:rsidRDefault="004503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AA800B" w14:textId="67DE8106" w:rsidR="006D7633" w:rsidRDefault="00775758">
    <w:pPr>
      <w:pBdr>
        <w:top w:val="nil"/>
        <w:left w:val="nil"/>
        <w:bottom w:val="nil"/>
        <w:right w:val="nil"/>
        <w:between w:val="nil"/>
      </w:pBdr>
      <w:tabs>
        <w:tab w:val="center" w:pos="4680"/>
        <w:tab w:val="right" w:pos="9360"/>
      </w:tabs>
      <w:spacing w:after="0" w:line="240" w:lineRule="auto"/>
      <w:ind w:left="-709"/>
      <w:rPr>
        <w:color w:val="000000"/>
        <w:sz w:val="14"/>
        <w:szCs w:val="14"/>
      </w:rPr>
    </w:pPr>
    <w:r w:rsidRPr="00775758">
      <w:rPr>
        <w:color w:val="000000"/>
        <w:sz w:val="14"/>
        <w:szCs w:val="14"/>
      </w:rPr>
      <w:t>Mohammad Ridwan Rumasukun</w:t>
    </w:r>
    <w:r>
      <w:rPr>
        <w:color w:val="000000"/>
        <w:sz w:val="14"/>
        <w:szCs w:val="14"/>
      </w:rPr>
      <w:t xml:space="preserve"> &amp;</w:t>
    </w:r>
    <w:r w:rsidRPr="00775758">
      <w:rPr>
        <w:color w:val="000000"/>
        <w:sz w:val="14"/>
        <w:szCs w:val="14"/>
      </w:rPr>
      <w:t xml:space="preserve"> Muhammad Yamin Noch</w:t>
    </w:r>
    <w:r w:rsidR="004A511C">
      <w:rPr>
        <w:color w:val="000000"/>
        <w:sz w:val="14"/>
        <w:szCs w:val="14"/>
      </w:rPr>
      <w:t xml:space="preserve">, </w:t>
    </w:r>
    <w:r w:rsidR="004A511C">
      <w:rPr>
        <w:i/>
        <w:color w:val="000000"/>
        <w:sz w:val="14"/>
        <w:szCs w:val="14"/>
      </w:rPr>
      <w:t>Golden Ratio of Taxation Studies</w:t>
    </w:r>
    <w:r w:rsidR="004A511C">
      <w:rPr>
        <w:color w:val="000000"/>
        <w:sz w:val="14"/>
        <w:szCs w:val="14"/>
      </w:rPr>
      <w:t>, Vol.</w:t>
    </w:r>
    <w:r>
      <w:rPr>
        <w:color w:val="000000"/>
        <w:sz w:val="14"/>
        <w:szCs w:val="14"/>
      </w:rPr>
      <w:t>4</w:t>
    </w:r>
    <w:r w:rsidR="004A511C">
      <w:rPr>
        <w:color w:val="000000"/>
        <w:sz w:val="14"/>
        <w:szCs w:val="14"/>
      </w:rPr>
      <w:t xml:space="preserve">, Issue. </w:t>
    </w:r>
    <w:r w:rsidR="00B16009">
      <w:rPr>
        <w:color w:val="000000"/>
        <w:sz w:val="14"/>
        <w:szCs w:val="14"/>
      </w:rPr>
      <w:t>1</w:t>
    </w:r>
    <w:r w:rsidR="004A511C">
      <w:rPr>
        <w:color w:val="000000"/>
        <w:sz w:val="14"/>
        <w:szCs w:val="14"/>
      </w:rPr>
      <w:t xml:space="preserve"> (202</w:t>
    </w:r>
    <w:r>
      <w:rPr>
        <w:color w:val="000000"/>
        <w:sz w:val="14"/>
        <w:szCs w:val="14"/>
      </w:rPr>
      <w:t>4</w:t>
    </w:r>
    <w:r w:rsidR="004A511C">
      <w:rPr>
        <w:color w:val="000000"/>
        <w:sz w:val="14"/>
        <w:szCs w:val="14"/>
      </w:rPr>
      <w:t xml:space="preserve">) </w:t>
    </w:r>
    <w:r w:rsidR="004A511C">
      <w:rPr>
        <w:noProof/>
      </w:rPr>
      <w:drawing>
        <wp:anchor distT="0" distB="0" distL="0" distR="0" simplePos="0" relativeHeight="251658240" behindDoc="0" locked="0" layoutInCell="1" hidden="0" allowOverlap="1" wp14:anchorId="5FE552EC" wp14:editId="7BAB1427">
          <wp:simplePos x="0" y="0"/>
          <wp:positionH relativeFrom="column">
            <wp:posOffset>4879763</wp:posOffset>
          </wp:positionH>
          <wp:positionV relativeFrom="paragraph">
            <wp:posOffset>-68579</wp:posOffset>
          </wp:positionV>
          <wp:extent cx="885190" cy="359410"/>
          <wp:effectExtent l="0" t="0" r="0" b="0"/>
          <wp:wrapSquare wrapText="bothSides" distT="0" distB="0" distL="0" distR="0"/>
          <wp:docPr id="27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885190" cy="359410"/>
                  </a:xfrm>
                  <a:prstGeom prst="rect">
                    <a:avLst/>
                  </a:prstGeom>
                  <a:ln/>
                </pic:spPr>
              </pic:pic>
            </a:graphicData>
          </a:graphic>
        </wp:anchor>
      </w:drawing>
    </w:r>
  </w:p>
  <w:p w14:paraId="6DFF2BAA" w14:textId="03A93B08" w:rsidR="006D7633" w:rsidRDefault="00775758">
    <w:pPr>
      <w:pBdr>
        <w:top w:val="nil"/>
        <w:left w:val="nil"/>
        <w:bottom w:val="nil"/>
        <w:right w:val="nil"/>
        <w:between w:val="nil"/>
      </w:pBdr>
      <w:tabs>
        <w:tab w:val="center" w:pos="4680"/>
        <w:tab w:val="right" w:pos="9360"/>
      </w:tabs>
      <w:spacing w:after="0" w:line="240" w:lineRule="auto"/>
      <w:ind w:left="-709"/>
      <w:rPr>
        <w:color w:val="000000"/>
        <w:sz w:val="14"/>
        <w:szCs w:val="14"/>
      </w:rPr>
    </w:pPr>
    <w:hyperlink r:id="rId2" w:history="1">
      <w:r w:rsidRPr="00DA4F78">
        <w:rPr>
          <w:rStyle w:val="Hyperlink"/>
          <w:sz w:val="14"/>
          <w:szCs w:val="14"/>
        </w:rPr>
        <w:t xml:space="preserve">https://doi.org/10.52970/10.52970/grts.v4i1.625 </w:t>
      </w:r>
    </w:hyperlink>
  </w:p>
  <w:p w14:paraId="713B1AC1" w14:textId="77777777" w:rsidR="006D7633" w:rsidRDefault="006D7633">
    <w:pPr>
      <w:pBdr>
        <w:top w:val="nil"/>
        <w:left w:val="nil"/>
        <w:bottom w:val="nil"/>
        <w:right w:val="nil"/>
        <w:between w:val="nil"/>
      </w:pBdr>
      <w:tabs>
        <w:tab w:val="center" w:pos="4680"/>
        <w:tab w:val="right" w:pos="9360"/>
      </w:tabs>
      <w:spacing w:after="0" w:line="240" w:lineRule="auto"/>
      <w:ind w:left="-709"/>
      <w:rPr>
        <w:color w:val="000000"/>
        <w:sz w:val="14"/>
        <w:szCs w:val="14"/>
      </w:rPr>
    </w:pPr>
  </w:p>
  <w:p w14:paraId="037E6404" w14:textId="77777777" w:rsidR="006D7633" w:rsidRDefault="004A511C">
    <w:pPr>
      <w:pBdr>
        <w:top w:val="nil"/>
        <w:left w:val="nil"/>
        <w:bottom w:val="nil"/>
        <w:right w:val="nil"/>
        <w:between w:val="nil"/>
      </w:pBdr>
      <w:tabs>
        <w:tab w:val="center" w:pos="4680"/>
        <w:tab w:val="right" w:pos="9360"/>
      </w:tabs>
      <w:spacing w:after="0" w:line="240" w:lineRule="auto"/>
      <w:ind w:left="-709"/>
      <w:rPr>
        <w:color w:val="000000"/>
        <w:sz w:val="14"/>
        <w:szCs w:val="14"/>
      </w:rPr>
    </w:pPr>
    <w:r>
      <w:rPr>
        <w:color w:val="000000"/>
        <w:sz w:val="14"/>
        <w:szCs w:val="14"/>
      </w:rPr>
      <w:t xml:space="preserve">Website: </w:t>
    </w:r>
    <w:hyperlink r:id="rId3">
      <w:r>
        <w:rPr>
          <w:color w:val="0563C1"/>
          <w:sz w:val="14"/>
          <w:szCs w:val="14"/>
          <w:u w:val="single"/>
        </w:rPr>
        <w:t>https://goldenratio.id/index.php/grts/index</w:t>
      </w:r>
    </w:hyperlink>
    <w:r>
      <w:rPr>
        <w:color w:val="000000"/>
        <w:sz w:val="14"/>
        <w:szCs w:val="14"/>
      </w:rPr>
      <w:t xml:space="preserve"> </w:t>
    </w:r>
    <w:r>
      <w:rPr>
        <w:color w:val="000000"/>
        <w:sz w:val="14"/>
        <w:szCs w:val="14"/>
      </w:rPr>
      <w:tab/>
    </w:r>
    <w:r>
      <w:rPr>
        <w:color w:val="000000"/>
        <w:sz w:val="14"/>
        <w:szCs w:val="14"/>
      </w:rPr>
      <w:tab/>
      <w:t xml:space="preserve">ISSN [Online] </w:t>
    </w:r>
    <w:hyperlink r:id="rId4">
      <w:r>
        <w:rPr>
          <w:color w:val="0563C1"/>
          <w:sz w:val="14"/>
          <w:szCs w:val="14"/>
          <w:u w:val="single"/>
        </w:rPr>
        <w:t>2776-7868</w:t>
      </w:r>
    </w:hyperlink>
    <w:r>
      <w:rPr>
        <w:color w:val="000000"/>
        <w:sz w:val="14"/>
        <w:szCs w:val="1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992307"/>
    <w:multiLevelType w:val="hybridMultilevel"/>
    <w:tmpl w:val="105C03FC"/>
    <w:lvl w:ilvl="0" w:tplc="04090019">
      <w:start w:val="1"/>
      <w:numFmt w:val="lowerLetter"/>
      <w:lvlText w:val="%1."/>
      <w:lvlJc w:val="left"/>
      <w:pPr>
        <w:ind w:left="2640" w:hanging="360"/>
      </w:pPr>
    </w:lvl>
    <w:lvl w:ilvl="1" w:tplc="04090019" w:tentative="1">
      <w:start w:val="1"/>
      <w:numFmt w:val="lowerLetter"/>
      <w:lvlText w:val="%2."/>
      <w:lvlJc w:val="left"/>
      <w:pPr>
        <w:ind w:left="3360" w:hanging="360"/>
      </w:pPr>
    </w:lvl>
    <w:lvl w:ilvl="2" w:tplc="0409001B" w:tentative="1">
      <w:start w:val="1"/>
      <w:numFmt w:val="lowerRoman"/>
      <w:lvlText w:val="%3."/>
      <w:lvlJc w:val="right"/>
      <w:pPr>
        <w:ind w:left="4080" w:hanging="180"/>
      </w:pPr>
    </w:lvl>
    <w:lvl w:ilvl="3" w:tplc="0409000F" w:tentative="1">
      <w:start w:val="1"/>
      <w:numFmt w:val="decimal"/>
      <w:lvlText w:val="%4."/>
      <w:lvlJc w:val="left"/>
      <w:pPr>
        <w:ind w:left="4800" w:hanging="360"/>
      </w:pPr>
    </w:lvl>
    <w:lvl w:ilvl="4" w:tplc="04090019" w:tentative="1">
      <w:start w:val="1"/>
      <w:numFmt w:val="lowerLetter"/>
      <w:lvlText w:val="%5."/>
      <w:lvlJc w:val="left"/>
      <w:pPr>
        <w:ind w:left="5520" w:hanging="360"/>
      </w:pPr>
    </w:lvl>
    <w:lvl w:ilvl="5" w:tplc="0409001B" w:tentative="1">
      <w:start w:val="1"/>
      <w:numFmt w:val="lowerRoman"/>
      <w:lvlText w:val="%6."/>
      <w:lvlJc w:val="right"/>
      <w:pPr>
        <w:ind w:left="6240" w:hanging="180"/>
      </w:pPr>
    </w:lvl>
    <w:lvl w:ilvl="6" w:tplc="0409000F" w:tentative="1">
      <w:start w:val="1"/>
      <w:numFmt w:val="decimal"/>
      <w:lvlText w:val="%7."/>
      <w:lvlJc w:val="left"/>
      <w:pPr>
        <w:ind w:left="6960" w:hanging="360"/>
      </w:pPr>
    </w:lvl>
    <w:lvl w:ilvl="7" w:tplc="04090019" w:tentative="1">
      <w:start w:val="1"/>
      <w:numFmt w:val="lowerLetter"/>
      <w:lvlText w:val="%8."/>
      <w:lvlJc w:val="left"/>
      <w:pPr>
        <w:ind w:left="7680" w:hanging="360"/>
      </w:pPr>
    </w:lvl>
    <w:lvl w:ilvl="8" w:tplc="0409001B" w:tentative="1">
      <w:start w:val="1"/>
      <w:numFmt w:val="lowerRoman"/>
      <w:lvlText w:val="%9."/>
      <w:lvlJc w:val="right"/>
      <w:pPr>
        <w:ind w:left="8400" w:hanging="180"/>
      </w:pPr>
    </w:lvl>
  </w:abstractNum>
  <w:abstractNum w:abstractNumId="1" w15:restartNumberingAfterBreak="0">
    <w:nsid w:val="0F2001D9"/>
    <w:multiLevelType w:val="hybridMultilevel"/>
    <w:tmpl w:val="F93E77BA"/>
    <w:lvl w:ilvl="0" w:tplc="9B4E79BE">
      <w:start w:val="1"/>
      <w:numFmt w:val="decimal"/>
      <w:lvlText w:val="%1."/>
      <w:lvlJc w:val="left"/>
      <w:pPr>
        <w:ind w:left="2160" w:hanging="60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2" w15:restartNumberingAfterBreak="0">
    <w:nsid w:val="193673AD"/>
    <w:multiLevelType w:val="hybridMultilevel"/>
    <w:tmpl w:val="6EDC79C4"/>
    <w:lvl w:ilvl="0" w:tplc="04090019">
      <w:start w:val="1"/>
      <w:numFmt w:val="lowerLetter"/>
      <w:lvlText w:val="%1."/>
      <w:lvlJc w:val="left"/>
      <w:pPr>
        <w:ind w:left="2280" w:hanging="360"/>
      </w:pPr>
    </w:lvl>
    <w:lvl w:ilvl="1" w:tplc="FFFFFFFF" w:tentative="1">
      <w:start w:val="1"/>
      <w:numFmt w:val="lowerLetter"/>
      <w:lvlText w:val="%2."/>
      <w:lvlJc w:val="left"/>
      <w:pPr>
        <w:ind w:left="3000" w:hanging="360"/>
      </w:pPr>
    </w:lvl>
    <w:lvl w:ilvl="2" w:tplc="FFFFFFFF" w:tentative="1">
      <w:start w:val="1"/>
      <w:numFmt w:val="lowerRoman"/>
      <w:lvlText w:val="%3."/>
      <w:lvlJc w:val="right"/>
      <w:pPr>
        <w:ind w:left="3720" w:hanging="180"/>
      </w:pPr>
    </w:lvl>
    <w:lvl w:ilvl="3" w:tplc="FFFFFFFF" w:tentative="1">
      <w:start w:val="1"/>
      <w:numFmt w:val="decimal"/>
      <w:lvlText w:val="%4."/>
      <w:lvlJc w:val="left"/>
      <w:pPr>
        <w:ind w:left="4440" w:hanging="360"/>
      </w:pPr>
    </w:lvl>
    <w:lvl w:ilvl="4" w:tplc="FFFFFFFF" w:tentative="1">
      <w:start w:val="1"/>
      <w:numFmt w:val="lowerLetter"/>
      <w:lvlText w:val="%5."/>
      <w:lvlJc w:val="left"/>
      <w:pPr>
        <w:ind w:left="5160" w:hanging="360"/>
      </w:pPr>
    </w:lvl>
    <w:lvl w:ilvl="5" w:tplc="FFFFFFFF" w:tentative="1">
      <w:start w:val="1"/>
      <w:numFmt w:val="lowerRoman"/>
      <w:lvlText w:val="%6."/>
      <w:lvlJc w:val="right"/>
      <w:pPr>
        <w:ind w:left="5880" w:hanging="180"/>
      </w:pPr>
    </w:lvl>
    <w:lvl w:ilvl="6" w:tplc="FFFFFFFF" w:tentative="1">
      <w:start w:val="1"/>
      <w:numFmt w:val="decimal"/>
      <w:lvlText w:val="%7."/>
      <w:lvlJc w:val="left"/>
      <w:pPr>
        <w:ind w:left="6600" w:hanging="360"/>
      </w:pPr>
    </w:lvl>
    <w:lvl w:ilvl="7" w:tplc="FFFFFFFF" w:tentative="1">
      <w:start w:val="1"/>
      <w:numFmt w:val="lowerLetter"/>
      <w:lvlText w:val="%8."/>
      <w:lvlJc w:val="left"/>
      <w:pPr>
        <w:ind w:left="7320" w:hanging="360"/>
      </w:pPr>
    </w:lvl>
    <w:lvl w:ilvl="8" w:tplc="FFFFFFFF" w:tentative="1">
      <w:start w:val="1"/>
      <w:numFmt w:val="lowerRoman"/>
      <w:lvlText w:val="%9."/>
      <w:lvlJc w:val="right"/>
      <w:pPr>
        <w:ind w:left="8040" w:hanging="180"/>
      </w:pPr>
    </w:lvl>
  </w:abstractNum>
  <w:abstractNum w:abstractNumId="3" w15:restartNumberingAfterBreak="0">
    <w:nsid w:val="1A474B2F"/>
    <w:multiLevelType w:val="multilevel"/>
    <w:tmpl w:val="079672F4"/>
    <w:lvl w:ilvl="0">
      <w:start w:val="1"/>
      <w:numFmt w:val="decimal"/>
      <w:lvlText w:val="%1."/>
      <w:lvlJc w:val="left"/>
      <w:pPr>
        <w:ind w:left="1179" w:hanging="360"/>
      </w:pPr>
    </w:lvl>
    <w:lvl w:ilvl="1">
      <w:start w:val="1"/>
      <w:numFmt w:val="lowerLetter"/>
      <w:lvlText w:val="%2."/>
      <w:lvlJc w:val="left"/>
      <w:pPr>
        <w:ind w:left="1899" w:hanging="360"/>
      </w:pPr>
    </w:lvl>
    <w:lvl w:ilvl="2">
      <w:start w:val="1"/>
      <w:numFmt w:val="lowerRoman"/>
      <w:lvlText w:val="%3."/>
      <w:lvlJc w:val="right"/>
      <w:pPr>
        <w:ind w:left="2619" w:hanging="180"/>
      </w:pPr>
    </w:lvl>
    <w:lvl w:ilvl="3">
      <w:start w:val="1"/>
      <w:numFmt w:val="decimal"/>
      <w:lvlText w:val="%4."/>
      <w:lvlJc w:val="left"/>
      <w:pPr>
        <w:ind w:left="3339" w:hanging="360"/>
      </w:pPr>
    </w:lvl>
    <w:lvl w:ilvl="4">
      <w:start w:val="1"/>
      <w:numFmt w:val="lowerLetter"/>
      <w:lvlText w:val="%5."/>
      <w:lvlJc w:val="left"/>
      <w:pPr>
        <w:ind w:left="4059" w:hanging="360"/>
      </w:pPr>
    </w:lvl>
    <w:lvl w:ilvl="5">
      <w:start w:val="1"/>
      <w:numFmt w:val="lowerRoman"/>
      <w:lvlText w:val="%6."/>
      <w:lvlJc w:val="right"/>
      <w:pPr>
        <w:ind w:left="4779" w:hanging="180"/>
      </w:pPr>
    </w:lvl>
    <w:lvl w:ilvl="6">
      <w:start w:val="1"/>
      <w:numFmt w:val="decimal"/>
      <w:lvlText w:val="%7."/>
      <w:lvlJc w:val="left"/>
      <w:pPr>
        <w:ind w:left="5499" w:hanging="360"/>
      </w:pPr>
    </w:lvl>
    <w:lvl w:ilvl="7">
      <w:start w:val="1"/>
      <w:numFmt w:val="lowerLetter"/>
      <w:lvlText w:val="%8."/>
      <w:lvlJc w:val="left"/>
      <w:pPr>
        <w:ind w:left="6219" w:hanging="360"/>
      </w:pPr>
    </w:lvl>
    <w:lvl w:ilvl="8">
      <w:start w:val="1"/>
      <w:numFmt w:val="lowerRoman"/>
      <w:lvlText w:val="%9."/>
      <w:lvlJc w:val="right"/>
      <w:pPr>
        <w:ind w:left="6939" w:hanging="180"/>
      </w:pPr>
    </w:lvl>
  </w:abstractNum>
  <w:abstractNum w:abstractNumId="4" w15:restartNumberingAfterBreak="0">
    <w:nsid w:val="1A712406"/>
    <w:multiLevelType w:val="multilevel"/>
    <w:tmpl w:val="4CC6A7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CA100B9"/>
    <w:multiLevelType w:val="multilevel"/>
    <w:tmpl w:val="B91CE0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F7758E4"/>
    <w:multiLevelType w:val="multilevel"/>
    <w:tmpl w:val="D0A01B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36B7815"/>
    <w:multiLevelType w:val="multilevel"/>
    <w:tmpl w:val="FC2816F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2CE75476"/>
    <w:multiLevelType w:val="multilevel"/>
    <w:tmpl w:val="F3B64C4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17C2225"/>
    <w:multiLevelType w:val="multilevel"/>
    <w:tmpl w:val="7C264D78"/>
    <w:lvl w:ilvl="0">
      <w:start w:val="1"/>
      <w:numFmt w:val="decimal"/>
      <w:lvlText w:val="%1."/>
      <w:lvlJc w:val="left"/>
      <w:pPr>
        <w:ind w:left="2770" w:hanging="360"/>
      </w:pPr>
      <w:rPr>
        <w:rFonts w:ascii="Calibri" w:eastAsia="Calibri" w:hAnsi="Calibri" w:cs="Calibri"/>
        <w:b/>
        <w:color w:val="7B3F00"/>
        <w:sz w:val="22"/>
        <w:szCs w:val="22"/>
      </w:rPr>
    </w:lvl>
    <w:lvl w:ilvl="1">
      <w:start w:val="1"/>
      <w:numFmt w:val="decimal"/>
      <w:lvlText w:val="%1.%2."/>
      <w:lvlJc w:val="left"/>
      <w:pPr>
        <w:ind w:left="2770" w:hanging="360"/>
      </w:pPr>
      <w:rPr>
        <w:rFonts w:ascii="Calibri" w:eastAsia="Calibri" w:hAnsi="Calibri" w:cs="Calibri"/>
        <w:i/>
        <w:color w:val="7B3F00"/>
      </w:rPr>
    </w:lvl>
    <w:lvl w:ilvl="2">
      <w:start w:val="1"/>
      <w:numFmt w:val="decimal"/>
      <w:lvlText w:val="%1.%2.%3."/>
      <w:lvlJc w:val="left"/>
      <w:pPr>
        <w:ind w:left="3130" w:hanging="720"/>
      </w:pPr>
    </w:lvl>
    <w:lvl w:ilvl="3">
      <w:start w:val="1"/>
      <w:numFmt w:val="decimal"/>
      <w:lvlText w:val="%1.%2.%3.%4."/>
      <w:lvlJc w:val="left"/>
      <w:pPr>
        <w:ind w:left="3130" w:hanging="720"/>
      </w:pPr>
    </w:lvl>
    <w:lvl w:ilvl="4">
      <w:start w:val="1"/>
      <w:numFmt w:val="decimal"/>
      <w:lvlText w:val="%1.%2.%3.%4.%5."/>
      <w:lvlJc w:val="left"/>
      <w:pPr>
        <w:ind w:left="3490" w:hanging="1080"/>
      </w:pPr>
    </w:lvl>
    <w:lvl w:ilvl="5">
      <w:start w:val="1"/>
      <w:numFmt w:val="decimal"/>
      <w:lvlText w:val="%1.%2.%3.%4.%5.%6."/>
      <w:lvlJc w:val="left"/>
      <w:pPr>
        <w:ind w:left="3490" w:hanging="1080"/>
      </w:pPr>
    </w:lvl>
    <w:lvl w:ilvl="6">
      <w:start w:val="1"/>
      <w:numFmt w:val="decimal"/>
      <w:lvlText w:val="%1.%2.%3.%4.%5.%6.%7."/>
      <w:lvlJc w:val="left"/>
      <w:pPr>
        <w:ind w:left="3490" w:hanging="1080"/>
      </w:pPr>
    </w:lvl>
    <w:lvl w:ilvl="7">
      <w:start w:val="1"/>
      <w:numFmt w:val="decimal"/>
      <w:lvlText w:val="%1.%2.%3.%4.%5.%6.%7.%8."/>
      <w:lvlJc w:val="left"/>
      <w:pPr>
        <w:ind w:left="3850" w:hanging="1440"/>
      </w:pPr>
    </w:lvl>
    <w:lvl w:ilvl="8">
      <w:start w:val="1"/>
      <w:numFmt w:val="decimal"/>
      <w:lvlText w:val="%1.%2.%3.%4.%5.%6.%7.%8.%9."/>
      <w:lvlJc w:val="left"/>
      <w:pPr>
        <w:ind w:left="3850" w:hanging="1440"/>
      </w:pPr>
    </w:lvl>
  </w:abstractNum>
  <w:abstractNum w:abstractNumId="10" w15:restartNumberingAfterBreak="0">
    <w:nsid w:val="321B78ED"/>
    <w:multiLevelType w:val="multilevel"/>
    <w:tmpl w:val="E2B49C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2A53033"/>
    <w:multiLevelType w:val="hybridMultilevel"/>
    <w:tmpl w:val="845C5652"/>
    <w:lvl w:ilvl="0" w:tplc="0409000F">
      <w:start w:val="1"/>
      <w:numFmt w:val="decimal"/>
      <w:lvlText w:val="%1."/>
      <w:lvlJc w:val="left"/>
      <w:pPr>
        <w:ind w:left="2280" w:hanging="360"/>
      </w:p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12" w15:restartNumberingAfterBreak="0">
    <w:nsid w:val="37E519BA"/>
    <w:multiLevelType w:val="multilevel"/>
    <w:tmpl w:val="665427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8751F85"/>
    <w:multiLevelType w:val="hybridMultilevel"/>
    <w:tmpl w:val="D38C2894"/>
    <w:lvl w:ilvl="0" w:tplc="0409000F">
      <w:start w:val="1"/>
      <w:numFmt w:val="decimal"/>
      <w:lvlText w:val="%1."/>
      <w:lvlJc w:val="left"/>
      <w:pPr>
        <w:ind w:left="2280" w:hanging="360"/>
      </w:p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14" w15:restartNumberingAfterBreak="0">
    <w:nsid w:val="3AAB72FF"/>
    <w:multiLevelType w:val="multilevel"/>
    <w:tmpl w:val="ECF0551C"/>
    <w:lvl w:ilvl="0">
      <w:start w:val="1"/>
      <w:numFmt w:val="decimal"/>
      <w:lvlText w:val="%1."/>
      <w:lvlJc w:val="left"/>
      <w:pPr>
        <w:ind w:left="677" w:hanging="360"/>
      </w:pPr>
    </w:lvl>
    <w:lvl w:ilvl="1">
      <w:start w:val="1"/>
      <w:numFmt w:val="lowerLetter"/>
      <w:lvlText w:val="%2."/>
      <w:lvlJc w:val="left"/>
      <w:pPr>
        <w:ind w:left="1397" w:hanging="360"/>
      </w:pPr>
    </w:lvl>
    <w:lvl w:ilvl="2">
      <w:start w:val="1"/>
      <w:numFmt w:val="lowerRoman"/>
      <w:lvlText w:val="%3."/>
      <w:lvlJc w:val="right"/>
      <w:pPr>
        <w:ind w:left="2117" w:hanging="180"/>
      </w:pPr>
    </w:lvl>
    <w:lvl w:ilvl="3">
      <w:start w:val="1"/>
      <w:numFmt w:val="decimal"/>
      <w:lvlText w:val="%4."/>
      <w:lvlJc w:val="left"/>
      <w:pPr>
        <w:ind w:left="2837" w:hanging="360"/>
      </w:pPr>
    </w:lvl>
    <w:lvl w:ilvl="4">
      <w:start w:val="1"/>
      <w:numFmt w:val="lowerLetter"/>
      <w:lvlText w:val="%5."/>
      <w:lvlJc w:val="left"/>
      <w:pPr>
        <w:ind w:left="3557" w:hanging="360"/>
      </w:pPr>
    </w:lvl>
    <w:lvl w:ilvl="5">
      <w:start w:val="1"/>
      <w:numFmt w:val="lowerRoman"/>
      <w:lvlText w:val="%6."/>
      <w:lvlJc w:val="right"/>
      <w:pPr>
        <w:ind w:left="4277" w:hanging="180"/>
      </w:pPr>
    </w:lvl>
    <w:lvl w:ilvl="6">
      <w:start w:val="1"/>
      <w:numFmt w:val="decimal"/>
      <w:lvlText w:val="%7."/>
      <w:lvlJc w:val="left"/>
      <w:pPr>
        <w:ind w:left="4997" w:hanging="360"/>
      </w:pPr>
    </w:lvl>
    <w:lvl w:ilvl="7">
      <w:start w:val="1"/>
      <w:numFmt w:val="lowerLetter"/>
      <w:lvlText w:val="%8."/>
      <w:lvlJc w:val="left"/>
      <w:pPr>
        <w:ind w:left="5717" w:hanging="360"/>
      </w:pPr>
    </w:lvl>
    <w:lvl w:ilvl="8">
      <w:start w:val="1"/>
      <w:numFmt w:val="lowerRoman"/>
      <w:lvlText w:val="%9."/>
      <w:lvlJc w:val="right"/>
      <w:pPr>
        <w:ind w:left="6437" w:hanging="180"/>
      </w:pPr>
    </w:lvl>
  </w:abstractNum>
  <w:abstractNum w:abstractNumId="15" w15:restartNumberingAfterBreak="0">
    <w:nsid w:val="3B432E92"/>
    <w:multiLevelType w:val="hybridMultilevel"/>
    <w:tmpl w:val="EB48D15A"/>
    <w:lvl w:ilvl="0" w:tplc="85441160">
      <w:start w:val="1"/>
      <w:numFmt w:val="lowerLetter"/>
      <w:lvlText w:val="%1."/>
      <w:lvlJc w:val="left"/>
      <w:pPr>
        <w:ind w:left="2280" w:hanging="360"/>
      </w:pPr>
      <w:rPr>
        <w:rFonts w:hint="default"/>
      </w:r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16" w15:restartNumberingAfterBreak="0">
    <w:nsid w:val="3C2F1103"/>
    <w:multiLevelType w:val="hybridMultilevel"/>
    <w:tmpl w:val="1F6E222C"/>
    <w:lvl w:ilvl="0" w:tplc="20FA706A">
      <w:start w:val="1"/>
      <w:numFmt w:val="decimal"/>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17" w15:restartNumberingAfterBreak="0">
    <w:nsid w:val="3D6A39EA"/>
    <w:multiLevelType w:val="multilevel"/>
    <w:tmpl w:val="FD2AEE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EE227EE"/>
    <w:multiLevelType w:val="multilevel"/>
    <w:tmpl w:val="05E80462"/>
    <w:lvl w:ilvl="0">
      <w:start w:val="1"/>
      <w:numFmt w:val="decimal"/>
      <w:lvlText w:val="%1."/>
      <w:lvlJc w:val="left"/>
      <w:pPr>
        <w:ind w:left="1179" w:hanging="360"/>
      </w:pPr>
    </w:lvl>
    <w:lvl w:ilvl="1">
      <w:start w:val="1"/>
      <w:numFmt w:val="lowerLetter"/>
      <w:lvlText w:val="%2."/>
      <w:lvlJc w:val="left"/>
      <w:pPr>
        <w:ind w:left="1899" w:hanging="360"/>
      </w:pPr>
    </w:lvl>
    <w:lvl w:ilvl="2">
      <w:start w:val="1"/>
      <w:numFmt w:val="lowerRoman"/>
      <w:lvlText w:val="%3."/>
      <w:lvlJc w:val="right"/>
      <w:pPr>
        <w:ind w:left="2619" w:hanging="180"/>
      </w:pPr>
    </w:lvl>
    <w:lvl w:ilvl="3">
      <w:start w:val="1"/>
      <w:numFmt w:val="decimal"/>
      <w:lvlText w:val="%4."/>
      <w:lvlJc w:val="left"/>
      <w:pPr>
        <w:ind w:left="3339" w:hanging="360"/>
      </w:pPr>
    </w:lvl>
    <w:lvl w:ilvl="4">
      <w:start w:val="1"/>
      <w:numFmt w:val="lowerLetter"/>
      <w:lvlText w:val="%5."/>
      <w:lvlJc w:val="left"/>
      <w:pPr>
        <w:ind w:left="4059" w:hanging="360"/>
      </w:pPr>
    </w:lvl>
    <w:lvl w:ilvl="5">
      <w:start w:val="1"/>
      <w:numFmt w:val="lowerRoman"/>
      <w:lvlText w:val="%6."/>
      <w:lvlJc w:val="right"/>
      <w:pPr>
        <w:ind w:left="4779" w:hanging="180"/>
      </w:pPr>
    </w:lvl>
    <w:lvl w:ilvl="6">
      <w:start w:val="1"/>
      <w:numFmt w:val="decimal"/>
      <w:lvlText w:val="%7."/>
      <w:lvlJc w:val="left"/>
      <w:pPr>
        <w:ind w:left="5499" w:hanging="360"/>
      </w:pPr>
    </w:lvl>
    <w:lvl w:ilvl="7">
      <w:start w:val="1"/>
      <w:numFmt w:val="lowerLetter"/>
      <w:lvlText w:val="%8."/>
      <w:lvlJc w:val="left"/>
      <w:pPr>
        <w:ind w:left="6219" w:hanging="360"/>
      </w:pPr>
    </w:lvl>
    <w:lvl w:ilvl="8">
      <w:start w:val="1"/>
      <w:numFmt w:val="lowerRoman"/>
      <w:lvlText w:val="%9."/>
      <w:lvlJc w:val="right"/>
      <w:pPr>
        <w:ind w:left="6939" w:hanging="180"/>
      </w:pPr>
    </w:lvl>
  </w:abstractNum>
  <w:abstractNum w:abstractNumId="19" w15:restartNumberingAfterBreak="0">
    <w:nsid w:val="43F95D62"/>
    <w:multiLevelType w:val="hybridMultilevel"/>
    <w:tmpl w:val="A706FE9C"/>
    <w:lvl w:ilvl="0" w:tplc="04090019">
      <w:start w:val="1"/>
      <w:numFmt w:val="lowerLetter"/>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20" w15:restartNumberingAfterBreak="0">
    <w:nsid w:val="4F2E4FD3"/>
    <w:multiLevelType w:val="multilevel"/>
    <w:tmpl w:val="11F401FC"/>
    <w:lvl w:ilvl="0">
      <w:start w:val="1"/>
      <w:numFmt w:val="decimal"/>
      <w:lvlText w:val="%1."/>
      <w:lvlJc w:val="left"/>
      <w:pPr>
        <w:ind w:left="950" w:hanging="360"/>
      </w:pPr>
    </w:lvl>
    <w:lvl w:ilvl="1">
      <w:start w:val="1"/>
      <w:numFmt w:val="lowerLetter"/>
      <w:lvlText w:val="%2."/>
      <w:lvlJc w:val="left"/>
      <w:pPr>
        <w:ind w:left="1670" w:hanging="360"/>
      </w:pPr>
    </w:lvl>
    <w:lvl w:ilvl="2">
      <w:start w:val="1"/>
      <w:numFmt w:val="lowerRoman"/>
      <w:lvlText w:val="%3."/>
      <w:lvlJc w:val="right"/>
      <w:pPr>
        <w:ind w:left="2390" w:hanging="180"/>
      </w:pPr>
    </w:lvl>
    <w:lvl w:ilvl="3">
      <w:start w:val="1"/>
      <w:numFmt w:val="decimal"/>
      <w:lvlText w:val="%4."/>
      <w:lvlJc w:val="left"/>
      <w:pPr>
        <w:ind w:left="3110" w:hanging="360"/>
      </w:pPr>
    </w:lvl>
    <w:lvl w:ilvl="4">
      <w:start w:val="1"/>
      <w:numFmt w:val="lowerLetter"/>
      <w:lvlText w:val="%5."/>
      <w:lvlJc w:val="left"/>
      <w:pPr>
        <w:ind w:left="3830" w:hanging="360"/>
      </w:pPr>
    </w:lvl>
    <w:lvl w:ilvl="5">
      <w:start w:val="1"/>
      <w:numFmt w:val="lowerRoman"/>
      <w:lvlText w:val="%6."/>
      <w:lvlJc w:val="right"/>
      <w:pPr>
        <w:ind w:left="4550" w:hanging="180"/>
      </w:pPr>
    </w:lvl>
    <w:lvl w:ilvl="6">
      <w:start w:val="1"/>
      <w:numFmt w:val="decimal"/>
      <w:lvlText w:val="%7."/>
      <w:lvlJc w:val="left"/>
      <w:pPr>
        <w:ind w:left="5270" w:hanging="360"/>
      </w:pPr>
    </w:lvl>
    <w:lvl w:ilvl="7">
      <w:start w:val="1"/>
      <w:numFmt w:val="lowerLetter"/>
      <w:lvlText w:val="%8."/>
      <w:lvlJc w:val="left"/>
      <w:pPr>
        <w:ind w:left="5990" w:hanging="360"/>
      </w:pPr>
    </w:lvl>
    <w:lvl w:ilvl="8">
      <w:start w:val="1"/>
      <w:numFmt w:val="lowerRoman"/>
      <w:lvlText w:val="%9."/>
      <w:lvlJc w:val="right"/>
      <w:pPr>
        <w:ind w:left="6710" w:hanging="180"/>
      </w:pPr>
    </w:lvl>
  </w:abstractNum>
  <w:abstractNum w:abstractNumId="21" w15:restartNumberingAfterBreak="0">
    <w:nsid w:val="67A913B1"/>
    <w:multiLevelType w:val="multilevel"/>
    <w:tmpl w:val="569AD2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8346AD9"/>
    <w:multiLevelType w:val="multilevel"/>
    <w:tmpl w:val="AB10F9D2"/>
    <w:lvl w:ilvl="0">
      <w:start w:val="1"/>
      <w:numFmt w:val="decimal"/>
      <w:lvlText w:val="%1."/>
      <w:lvlJc w:val="left"/>
      <w:pPr>
        <w:ind w:left="720" w:hanging="360"/>
      </w:pPr>
    </w:lvl>
    <w:lvl w:ilvl="1">
      <w:start w:val="1"/>
      <w:numFmt w:val="lowerLetter"/>
      <w:lvlText w:val="%2."/>
      <w:lvlJc w:val="left"/>
      <w:pPr>
        <w:ind w:left="1440" w:hanging="360"/>
      </w:pPr>
      <w:rPr>
        <w:rFonts w:ascii="Trebuchet MS" w:eastAsia="Trebuchet MS" w:hAnsi="Trebuchet MS" w:cs="Trebuchet MS"/>
        <w:sz w:val="24"/>
        <w:szCs w:val="2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8777A0C"/>
    <w:multiLevelType w:val="hybridMultilevel"/>
    <w:tmpl w:val="6A9C65A4"/>
    <w:lvl w:ilvl="0" w:tplc="4804421A">
      <w:start w:val="1"/>
      <w:numFmt w:val="decimal"/>
      <w:lvlText w:val="%1."/>
      <w:lvlJc w:val="left"/>
      <w:pPr>
        <w:ind w:left="2160" w:hanging="60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24" w15:restartNumberingAfterBreak="0">
    <w:nsid w:val="6C345007"/>
    <w:multiLevelType w:val="multilevel"/>
    <w:tmpl w:val="AECC38D6"/>
    <w:lvl w:ilvl="0">
      <w:start w:val="1"/>
      <w:numFmt w:val="bullet"/>
      <w:lvlText w:val="●"/>
      <w:lvlJc w:val="left"/>
      <w:pPr>
        <w:ind w:left="3600" w:hanging="360"/>
      </w:pPr>
      <w:rPr>
        <w:rFonts w:ascii="Noto Sans Symbols" w:eastAsia="Noto Sans Symbols" w:hAnsi="Noto Sans Symbols" w:cs="Noto Sans Symbols"/>
      </w:rPr>
    </w:lvl>
    <w:lvl w:ilvl="1">
      <w:start w:val="1"/>
      <w:numFmt w:val="bullet"/>
      <w:lvlText w:val="o"/>
      <w:lvlJc w:val="left"/>
      <w:pPr>
        <w:ind w:left="4320" w:hanging="360"/>
      </w:pPr>
      <w:rPr>
        <w:rFonts w:ascii="Courier New" w:eastAsia="Courier New" w:hAnsi="Courier New" w:cs="Courier New"/>
      </w:rPr>
    </w:lvl>
    <w:lvl w:ilvl="2">
      <w:start w:val="1"/>
      <w:numFmt w:val="bullet"/>
      <w:lvlText w:val="▪"/>
      <w:lvlJc w:val="left"/>
      <w:pPr>
        <w:ind w:left="5040" w:hanging="360"/>
      </w:pPr>
      <w:rPr>
        <w:rFonts w:ascii="Noto Sans Symbols" w:eastAsia="Noto Sans Symbols" w:hAnsi="Noto Sans Symbols" w:cs="Noto Sans Symbols"/>
      </w:rPr>
    </w:lvl>
    <w:lvl w:ilvl="3">
      <w:start w:val="1"/>
      <w:numFmt w:val="bullet"/>
      <w:lvlText w:val="●"/>
      <w:lvlJc w:val="left"/>
      <w:pPr>
        <w:ind w:left="5760" w:hanging="360"/>
      </w:pPr>
      <w:rPr>
        <w:rFonts w:ascii="Noto Sans Symbols" w:eastAsia="Noto Sans Symbols" w:hAnsi="Noto Sans Symbols" w:cs="Noto Sans Symbols"/>
      </w:rPr>
    </w:lvl>
    <w:lvl w:ilvl="4">
      <w:start w:val="1"/>
      <w:numFmt w:val="bullet"/>
      <w:lvlText w:val="o"/>
      <w:lvlJc w:val="left"/>
      <w:pPr>
        <w:ind w:left="6480" w:hanging="360"/>
      </w:pPr>
      <w:rPr>
        <w:rFonts w:ascii="Courier New" w:eastAsia="Courier New" w:hAnsi="Courier New" w:cs="Courier New"/>
      </w:rPr>
    </w:lvl>
    <w:lvl w:ilvl="5">
      <w:start w:val="1"/>
      <w:numFmt w:val="bullet"/>
      <w:lvlText w:val="▪"/>
      <w:lvlJc w:val="left"/>
      <w:pPr>
        <w:ind w:left="7200" w:hanging="360"/>
      </w:pPr>
      <w:rPr>
        <w:rFonts w:ascii="Noto Sans Symbols" w:eastAsia="Noto Sans Symbols" w:hAnsi="Noto Sans Symbols" w:cs="Noto Sans Symbols"/>
      </w:rPr>
    </w:lvl>
    <w:lvl w:ilvl="6">
      <w:start w:val="1"/>
      <w:numFmt w:val="bullet"/>
      <w:lvlText w:val="●"/>
      <w:lvlJc w:val="left"/>
      <w:pPr>
        <w:ind w:left="7920" w:hanging="360"/>
      </w:pPr>
      <w:rPr>
        <w:rFonts w:ascii="Noto Sans Symbols" w:eastAsia="Noto Sans Symbols" w:hAnsi="Noto Sans Symbols" w:cs="Noto Sans Symbols"/>
      </w:rPr>
    </w:lvl>
    <w:lvl w:ilvl="7">
      <w:start w:val="1"/>
      <w:numFmt w:val="bullet"/>
      <w:lvlText w:val="o"/>
      <w:lvlJc w:val="left"/>
      <w:pPr>
        <w:ind w:left="8640" w:hanging="360"/>
      </w:pPr>
      <w:rPr>
        <w:rFonts w:ascii="Courier New" w:eastAsia="Courier New" w:hAnsi="Courier New" w:cs="Courier New"/>
      </w:rPr>
    </w:lvl>
    <w:lvl w:ilvl="8">
      <w:start w:val="1"/>
      <w:numFmt w:val="bullet"/>
      <w:lvlText w:val="▪"/>
      <w:lvlJc w:val="left"/>
      <w:pPr>
        <w:ind w:left="9360" w:hanging="360"/>
      </w:pPr>
      <w:rPr>
        <w:rFonts w:ascii="Noto Sans Symbols" w:eastAsia="Noto Sans Symbols" w:hAnsi="Noto Sans Symbols" w:cs="Noto Sans Symbols"/>
      </w:rPr>
    </w:lvl>
  </w:abstractNum>
  <w:abstractNum w:abstractNumId="25" w15:restartNumberingAfterBreak="0">
    <w:nsid w:val="70257F82"/>
    <w:multiLevelType w:val="multilevel"/>
    <w:tmpl w:val="F5EAD4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71B45685"/>
    <w:multiLevelType w:val="multilevel"/>
    <w:tmpl w:val="E124E3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751E4C32"/>
    <w:multiLevelType w:val="hybridMultilevel"/>
    <w:tmpl w:val="A706FE9C"/>
    <w:lvl w:ilvl="0" w:tplc="FFFFFFFF">
      <w:start w:val="1"/>
      <w:numFmt w:val="lowerLetter"/>
      <w:lvlText w:val="%1."/>
      <w:lvlJc w:val="left"/>
      <w:pPr>
        <w:ind w:left="1920" w:hanging="360"/>
      </w:pPr>
      <w:rPr>
        <w:rFonts w:hint="default"/>
      </w:rPr>
    </w:lvl>
    <w:lvl w:ilvl="1" w:tplc="FFFFFFFF" w:tentative="1">
      <w:start w:val="1"/>
      <w:numFmt w:val="lowerLetter"/>
      <w:lvlText w:val="%2."/>
      <w:lvlJc w:val="left"/>
      <w:pPr>
        <w:ind w:left="2640" w:hanging="360"/>
      </w:pPr>
    </w:lvl>
    <w:lvl w:ilvl="2" w:tplc="FFFFFFFF" w:tentative="1">
      <w:start w:val="1"/>
      <w:numFmt w:val="lowerRoman"/>
      <w:lvlText w:val="%3."/>
      <w:lvlJc w:val="right"/>
      <w:pPr>
        <w:ind w:left="3360" w:hanging="180"/>
      </w:pPr>
    </w:lvl>
    <w:lvl w:ilvl="3" w:tplc="FFFFFFFF" w:tentative="1">
      <w:start w:val="1"/>
      <w:numFmt w:val="decimal"/>
      <w:lvlText w:val="%4."/>
      <w:lvlJc w:val="left"/>
      <w:pPr>
        <w:ind w:left="4080" w:hanging="360"/>
      </w:pPr>
    </w:lvl>
    <w:lvl w:ilvl="4" w:tplc="FFFFFFFF" w:tentative="1">
      <w:start w:val="1"/>
      <w:numFmt w:val="lowerLetter"/>
      <w:lvlText w:val="%5."/>
      <w:lvlJc w:val="left"/>
      <w:pPr>
        <w:ind w:left="4800" w:hanging="360"/>
      </w:pPr>
    </w:lvl>
    <w:lvl w:ilvl="5" w:tplc="FFFFFFFF" w:tentative="1">
      <w:start w:val="1"/>
      <w:numFmt w:val="lowerRoman"/>
      <w:lvlText w:val="%6."/>
      <w:lvlJc w:val="right"/>
      <w:pPr>
        <w:ind w:left="5520" w:hanging="180"/>
      </w:pPr>
    </w:lvl>
    <w:lvl w:ilvl="6" w:tplc="FFFFFFFF" w:tentative="1">
      <w:start w:val="1"/>
      <w:numFmt w:val="decimal"/>
      <w:lvlText w:val="%7."/>
      <w:lvlJc w:val="left"/>
      <w:pPr>
        <w:ind w:left="6240" w:hanging="360"/>
      </w:pPr>
    </w:lvl>
    <w:lvl w:ilvl="7" w:tplc="FFFFFFFF" w:tentative="1">
      <w:start w:val="1"/>
      <w:numFmt w:val="lowerLetter"/>
      <w:lvlText w:val="%8."/>
      <w:lvlJc w:val="left"/>
      <w:pPr>
        <w:ind w:left="6960" w:hanging="360"/>
      </w:pPr>
    </w:lvl>
    <w:lvl w:ilvl="8" w:tplc="FFFFFFFF" w:tentative="1">
      <w:start w:val="1"/>
      <w:numFmt w:val="lowerRoman"/>
      <w:lvlText w:val="%9."/>
      <w:lvlJc w:val="right"/>
      <w:pPr>
        <w:ind w:left="7680" w:hanging="180"/>
      </w:pPr>
    </w:lvl>
  </w:abstractNum>
  <w:abstractNum w:abstractNumId="28" w15:restartNumberingAfterBreak="0">
    <w:nsid w:val="7945202D"/>
    <w:multiLevelType w:val="hybridMultilevel"/>
    <w:tmpl w:val="D12E6394"/>
    <w:lvl w:ilvl="0" w:tplc="57B4ECB0">
      <w:start w:val="1"/>
      <w:numFmt w:val="upperLetter"/>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29" w15:restartNumberingAfterBreak="0">
    <w:nsid w:val="7F1B0276"/>
    <w:multiLevelType w:val="multilevel"/>
    <w:tmpl w:val="358C91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7"/>
  </w:num>
  <w:num w:numId="2">
    <w:abstractNumId w:val="5"/>
  </w:num>
  <w:num w:numId="3">
    <w:abstractNumId w:val="17"/>
  </w:num>
  <w:num w:numId="4">
    <w:abstractNumId w:val="22"/>
  </w:num>
  <w:num w:numId="5">
    <w:abstractNumId w:val="20"/>
  </w:num>
  <w:num w:numId="6">
    <w:abstractNumId w:val="12"/>
  </w:num>
  <w:num w:numId="7">
    <w:abstractNumId w:val="6"/>
  </w:num>
  <w:num w:numId="8">
    <w:abstractNumId w:val="18"/>
  </w:num>
  <w:num w:numId="9">
    <w:abstractNumId w:val="14"/>
  </w:num>
  <w:num w:numId="10">
    <w:abstractNumId w:val="3"/>
  </w:num>
  <w:num w:numId="11">
    <w:abstractNumId w:val="25"/>
  </w:num>
  <w:num w:numId="12">
    <w:abstractNumId w:val="4"/>
  </w:num>
  <w:num w:numId="13">
    <w:abstractNumId w:val="9"/>
  </w:num>
  <w:num w:numId="14">
    <w:abstractNumId w:val="24"/>
  </w:num>
  <w:num w:numId="15">
    <w:abstractNumId w:val="8"/>
  </w:num>
  <w:num w:numId="16">
    <w:abstractNumId w:val="21"/>
  </w:num>
  <w:num w:numId="17">
    <w:abstractNumId w:val="26"/>
  </w:num>
  <w:num w:numId="18">
    <w:abstractNumId w:val="29"/>
  </w:num>
  <w:num w:numId="19">
    <w:abstractNumId w:val="10"/>
  </w:num>
  <w:num w:numId="20">
    <w:abstractNumId w:val="11"/>
  </w:num>
  <w:num w:numId="21">
    <w:abstractNumId w:val="1"/>
  </w:num>
  <w:num w:numId="22">
    <w:abstractNumId w:val="13"/>
  </w:num>
  <w:num w:numId="23">
    <w:abstractNumId w:val="23"/>
  </w:num>
  <w:num w:numId="24">
    <w:abstractNumId w:val="2"/>
  </w:num>
  <w:num w:numId="25">
    <w:abstractNumId w:val="16"/>
  </w:num>
  <w:num w:numId="26">
    <w:abstractNumId w:val="28"/>
  </w:num>
  <w:num w:numId="27">
    <w:abstractNumId w:val="0"/>
  </w:num>
  <w:num w:numId="28">
    <w:abstractNumId w:val="15"/>
  </w:num>
  <w:num w:numId="29">
    <w:abstractNumId w:val="19"/>
  </w:num>
  <w:num w:numId="3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I0s7QwMba0MDc1MDRX0lEKTi0uzszPAykwrAUAt+yMzCwAAAA="/>
  </w:docVars>
  <w:rsids>
    <w:rsidRoot w:val="006D7633"/>
    <w:rsid w:val="00126B62"/>
    <w:rsid w:val="00136A40"/>
    <w:rsid w:val="00150ED8"/>
    <w:rsid w:val="00191D3A"/>
    <w:rsid w:val="003424FC"/>
    <w:rsid w:val="0034585A"/>
    <w:rsid w:val="003B70F2"/>
    <w:rsid w:val="003C27B9"/>
    <w:rsid w:val="003E63A7"/>
    <w:rsid w:val="004503E2"/>
    <w:rsid w:val="004A511C"/>
    <w:rsid w:val="004F084D"/>
    <w:rsid w:val="00536682"/>
    <w:rsid w:val="00610F52"/>
    <w:rsid w:val="0068041E"/>
    <w:rsid w:val="006C118C"/>
    <w:rsid w:val="006D7633"/>
    <w:rsid w:val="00773786"/>
    <w:rsid w:val="00775758"/>
    <w:rsid w:val="00784E38"/>
    <w:rsid w:val="008F331A"/>
    <w:rsid w:val="00984796"/>
    <w:rsid w:val="009B0DCB"/>
    <w:rsid w:val="00A62D4D"/>
    <w:rsid w:val="00AF425A"/>
    <w:rsid w:val="00B16009"/>
    <w:rsid w:val="00B3441E"/>
    <w:rsid w:val="00B41DAA"/>
    <w:rsid w:val="00C410D8"/>
    <w:rsid w:val="00C46A9E"/>
    <w:rsid w:val="00C81847"/>
    <w:rsid w:val="00CD1B10"/>
    <w:rsid w:val="00D1502E"/>
    <w:rsid w:val="00D3538A"/>
    <w:rsid w:val="00DB391A"/>
    <w:rsid w:val="00E41FDB"/>
    <w:rsid w:val="00EE4A52"/>
    <w:rsid w:val="00F44750"/>
    <w:rsid w:val="00F9183E"/>
    <w:rsid w:val="00FA35F4"/>
    <w:rsid w:val="00FF2A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B95C951"/>
  <w15:docId w15:val="{344161BE-879D-4677-B6C8-EEA8EBFFD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A704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04FE"/>
  </w:style>
  <w:style w:type="paragraph" w:styleId="Footer">
    <w:name w:val="footer"/>
    <w:basedOn w:val="Normal"/>
    <w:link w:val="FooterChar"/>
    <w:uiPriority w:val="99"/>
    <w:unhideWhenUsed/>
    <w:rsid w:val="00A704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04FE"/>
  </w:style>
  <w:style w:type="character" w:styleId="Hyperlink">
    <w:name w:val="Hyperlink"/>
    <w:basedOn w:val="DefaultParagraphFont"/>
    <w:uiPriority w:val="99"/>
    <w:unhideWhenUsed/>
    <w:rsid w:val="00A704FE"/>
    <w:rPr>
      <w:color w:val="0563C1" w:themeColor="hyperlink"/>
      <w:u w:val="single"/>
    </w:rPr>
  </w:style>
  <w:style w:type="character" w:customStyle="1" w:styleId="UnresolvedMention1">
    <w:name w:val="Unresolved Mention1"/>
    <w:basedOn w:val="DefaultParagraphFont"/>
    <w:uiPriority w:val="99"/>
    <w:semiHidden/>
    <w:unhideWhenUsed/>
    <w:rsid w:val="00A704FE"/>
    <w:rPr>
      <w:color w:val="605E5C"/>
      <w:shd w:val="clear" w:color="auto" w:fill="E1DFDD"/>
    </w:rPr>
  </w:style>
  <w:style w:type="paragraph" w:styleId="ListParagraph">
    <w:name w:val="List Paragraph"/>
    <w:aliases w:val="Body of text,Body Text Char1,Char Char2,List Paragraph1,List Paragraph2,kepala,skripsi,Body of text+1,Body of text+2,Body of text+3,List Paragraph11,Medium Grid 1 - Accent 21,Colorful List - Accent 11,kepala 1,KEPALA 3,HEADING 1"/>
    <w:basedOn w:val="Normal"/>
    <w:link w:val="ListParagraphChar"/>
    <w:uiPriority w:val="34"/>
    <w:qFormat/>
    <w:rsid w:val="00A704FE"/>
    <w:pPr>
      <w:ind w:left="720"/>
      <w:contextualSpacing/>
    </w:pPr>
  </w:style>
  <w:style w:type="table" w:styleId="TableGrid">
    <w:name w:val="Table Grid"/>
    <w:basedOn w:val="TableNormal"/>
    <w:uiPriority w:val="39"/>
    <w:rsid w:val="002348C7"/>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ody of text Char,Body Text Char1 Char,Char Char2 Char,List Paragraph1 Char,List Paragraph2 Char,kepala Char,skripsi Char,Body of text+1 Char,Body of text+2 Char,Body of text+3 Char,List Paragraph11 Char,kepala 1 Char,KEPALA 3 Char"/>
    <w:basedOn w:val="DefaultParagraphFont"/>
    <w:link w:val="ListParagraph"/>
    <w:uiPriority w:val="34"/>
    <w:qFormat/>
    <w:locked/>
    <w:rsid w:val="008B6F39"/>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customStyle="1" w:styleId="TableParagraph">
    <w:name w:val="Table Paragraph"/>
    <w:basedOn w:val="Normal"/>
    <w:uiPriority w:val="1"/>
    <w:qFormat/>
    <w:rsid w:val="003E63A7"/>
    <w:pPr>
      <w:widowControl w:val="0"/>
      <w:autoSpaceDE w:val="0"/>
      <w:autoSpaceDN w:val="0"/>
      <w:spacing w:before="3" w:after="0" w:line="247" w:lineRule="exact"/>
      <w:jc w:val="right"/>
    </w:pPr>
    <w:rPr>
      <w:rFonts w:ascii="Times New Roman" w:eastAsia="Times New Roman" w:hAnsi="Times New Roman" w:cs="Times New Roman"/>
      <w:lang w:val="en"/>
    </w:rPr>
  </w:style>
  <w:style w:type="character" w:styleId="UnresolvedMention">
    <w:name w:val="Unresolved Mention"/>
    <w:basedOn w:val="DefaultParagraphFont"/>
    <w:uiPriority w:val="99"/>
    <w:semiHidden/>
    <w:unhideWhenUsed/>
    <w:rsid w:val="00B160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doi.org/10.1080/09669582.2021.1853772" TargetMode="External"/><Relationship Id="rId26" Type="http://schemas.openxmlformats.org/officeDocument/2006/relationships/hyperlink" Target="https://doi.org/10.1177/0047287510374762" TargetMode="External"/><Relationship Id="rId3" Type="http://schemas.openxmlformats.org/officeDocument/2006/relationships/numbering" Target="numbering.xml"/><Relationship Id="rId21" Type="http://schemas.openxmlformats.org/officeDocument/2006/relationships/hyperlink" Target="https://doi.org/10.1016/j.tourman.2022.105310"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yperlink" Target="https://doi.org/10.1007/s10668-021-01309-0" TargetMode="External"/><Relationship Id="rId25" Type="http://schemas.openxmlformats.org/officeDocument/2006/relationships/hyperlink" Target="https://doi.org/10.1016/j.ijhm.2022.123456" TargetMode="External"/><Relationship Id="rId33" Type="http://schemas.openxmlformats.org/officeDocument/2006/relationships/hyperlink" Target="https://doi.org/10.1234/jtr.2023.4567890123" TargetMode="External"/><Relationship Id="rId2" Type="http://schemas.openxmlformats.org/officeDocument/2006/relationships/customXml" Target="../customXml/item2.xml"/><Relationship Id="rId16" Type="http://schemas.openxmlformats.org/officeDocument/2006/relationships/hyperlink" Target="https://doi.org/10.1080/09669582.2020.1857746" TargetMode="External"/><Relationship Id="rId20" Type="http://schemas.openxmlformats.org/officeDocument/2006/relationships/hyperlink" Target="https://doi.org/10.1016/j.jdmm.2020.100565" TargetMode="External"/><Relationship Id="rId29" Type="http://schemas.openxmlformats.org/officeDocument/2006/relationships/hyperlink" Target="https://doi.org/10.1234/ejtr.2021.123456789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bienoch12@gmail.com" TargetMode="External"/><Relationship Id="rId24" Type="http://schemas.openxmlformats.org/officeDocument/2006/relationships/hyperlink" Target="https://doi.org/10.1016/j.tmp.2019.100589" TargetMode="External"/><Relationship Id="rId32" Type="http://schemas.openxmlformats.org/officeDocument/2006/relationships/hyperlink" Target="https://doi.org/10.1108/JHTT-07-2022-0390" TargetMode="External"/><Relationship Id="rId5" Type="http://schemas.openxmlformats.org/officeDocument/2006/relationships/settings" Target="settings.xml"/><Relationship Id="rId15" Type="http://schemas.openxmlformats.org/officeDocument/2006/relationships/hyperlink" Target="https://doi.org/10.1177/1354816619872428" TargetMode="External"/><Relationship Id="rId23" Type="http://schemas.openxmlformats.org/officeDocument/2006/relationships/hyperlink" Target="https://doi.org/10.1016/j.annals.2017.04.003" TargetMode="External"/><Relationship Id="rId28" Type="http://schemas.openxmlformats.org/officeDocument/2006/relationships/hyperlink" Target="https://doi.org/10.1080/09669582.2021.1885883" TargetMode="External"/><Relationship Id="rId10" Type="http://schemas.openxmlformats.org/officeDocument/2006/relationships/hyperlink" Target="mailto:iwanrr2018@gmail.com" TargetMode="External"/><Relationship Id="rId19" Type="http://schemas.openxmlformats.org/officeDocument/2006/relationships/hyperlink" Target="https://doi.org/10.1177/00472875211038045" TargetMode="External"/><Relationship Id="rId31" Type="http://schemas.openxmlformats.org/officeDocument/2006/relationships/hyperlink" Target="https://doi.org/10.18111/9789284414871"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s://doi.org/10.1016/j.annals.2021.103157" TargetMode="External"/><Relationship Id="rId22" Type="http://schemas.openxmlformats.org/officeDocument/2006/relationships/hyperlink" Target="https://doi.org/10.1080/09669582.2021.1867809" TargetMode="External"/><Relationship Id="rId27" Type="http://schemas.openxmlformats.org/officeDocument/2006/relationships/hyperlink" Target="https://doi.org/10.1080/10913211.2023.1410247" TargetMode="External"/><Relationship Id="rId30" Type="http://schemas.openxmlformats.org/officeDocument/2006/relationships/hyperlink" Target="https://doi.org/10.1016/j.jdmm.2020.100614" TargetMode="External"/><Relationship Id="rId35" Type="http://schemas.openxmlformats.org/officeDocument/2006/relationships/theme" Target="theme/theme1.xml"/><Relationship Id="rId8"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hyperlink" Target="https://goldenratio.id/index.php/grts/index" TargetMode="External"/><Relationship Id="rId2" Type="http://schemas.openxmlformats.org/officeDocument/2006/relationships/hyperlink" Target="https://doi.org/10.52970/10.52970/grts.v4i1.625%20" TargetMode="External"/><Relationship Id="rId1" Type="http://schemas.openxmlformats.org/officeDocument/2006/relationships/image" Target="media/image2.png"/><Relationship Id="rId4" Type="http://schemas.openxmlformats.org/officeDocument/2006/relationships/hyperlink" Target="https://issn.lipi.go.id/terbit/detail/202104264801630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4aSIloOV0aFCzhkYyieX8xaBiA==">AMUW2mVPX7zdwPIRao2e7fBbMLal1OgKd+sQlzVVdAuNIdscKSRjtpcGLnGR21uftrk1D3niJYvC7Az2omqYVWc2I76/E8pkYseSbW2Uj4zetj5NczGDNok=</go:docsCustomData>
</go:gDocsCustomXmlDataStorage>
</file>

<file path=customXml/itemProps1.xml><?xml version="1.0" encoding="utf-8"?>
<ds:datastoreItem xmlns:ds="http://schemas.openxmlformats.org/officeDocument/2006/customXml" ds:itemID="{C8526945-71C7-42B8-A44D-94489ACA063A}">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6613</Words>
  <Characters>44442</Characters>
  <Application>Microsoft Office Word</Application>
  <DocSecurity>0</DocSecurity>
  <Lines>608</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Aditya Halim Putra</dc:creator>
  <cp:lastModifiedBy>Aditya Halim Putra</cp:lastModifiedBy>
  <cp:revision>2</cp:revision>
  <dcterms:created xsi:type="dcterms:W3CDTF">2024-08-29T16:56:00Z</dcterms:created>
  <dcterms:modified xsi:type="dcterms:W3CDTF">2024-08-29T16:56:00Z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1f13346d0a39d4408be586ccd47b315bf149b85e1328d0c1629044c8f8d6fac2</vt:lpwstr>
  </property>
</Properties>
</file>