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1536" w14:textId="1DBA7436" w:rsidR="006D7633" w:rsidRDefault="00B16009">
      <w:pPr>
        <w:ind w:left="2410"/>
      </w:pPr>
      <w:r>
        <w:rPr>
          <w:noProof/>
        </w:rPr>
        <w:drawing>
          <wp:anchor distT="0" distB="0" distL="114300" distR="114300" simplePos="0" relativeHeight="251658240" behindDoc="0" locked="0" layoutInCell="1" hidden="0" allowOverlap="1" wp14:anchorId="2EC2442F" wp14:editId="26338E25">
            <wp:simplePos x="0" y="0"/>
            <wp:positionH relativeFrom="column">
              <wp:posOffset>-539126</wp:posOffset>
            </wp:positionH>
            <wp:positionV relativeFrom="paragraph">
              <wp:posOffset>322419</wp:posOffset>
            </wp:positionV>
            <wp:extent cx="1630558" cy="2306450"/>
            <wp:effectExtent l="0" t="0" r="8255" b="0"/>
            <wp:wrapNone/>
            <wp:docPr id="275" name="image2.jpg"/>
            <wp:cNvGraphicFramePr/>
            <a:graphic xmlns:a="http://schemas.openxmlformats.org/drawingml/2006/main">
              <a:graphicData uri="http://schemas.openxmlformats.org/drawingml/2006/picture">
                <pic:pic xmlns:pic="http://schemas.openxmlformats.org/drawingml/2006/picture">
                  <pic:nvPicPr>
                    <pic:cNvPr id="275" name="image2.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630558" cy="2306450"/>
                    </a:xfrm>
                    <a:prstGeom prst="rect">
                      <a:avLst/>
                    </a:prstGeom>
                    <a:ln/>
                  </pic:spPr>
                </pic:pic>
              </a:graphicData>
            </a:graphic>
          </wp:anchor>
        </w:drawing>
      </w:r>
    </w:p>
    <w:p w14:paraId="798F8245" w14:textId="0532E6A1" w:rsidR="006D7633" w:rsidRPr="00FF2A67" w:rsidRDefault="00B16009">
      <w:pPr>
        <w:ind w:left="2410"/>
        <w:rPr>
          <w:color w:val="7B3F00"/>
        </w:rPr>
      </w:pPr>
      <w:r>
        <w:rPr>
          <w:noProof/>
          <w:color w:val="7B3F00"/>
        </w:rPr>
        <mc:AlternateContent>
          <mc:Choice Requires="wps">
            <w:drawing>
              <wp:anchor distT="0" distB="0" distL="114300" distR="114300" simplePos="0" relativeHeight="251662336" behindDoc="0" locked="0" layoutInCell="1" allowOverlap="1" wp14:anchorId="794F5758" wp14:editId="393C7C20">
                <wp:simplePos x="0" y="0"/>
                <wp:positionH relativeFrom="column">
                  <wp:posOffset>1308100</wp:posOffset>
                </wp:positionH>
                <wp:positionV relativeFrom="paragraph">
                  <wp:posOffset>31750</wp:posOffset>
                </wp:positionV>
                <wp:extent cx="0" cy="4273550"/>
                <wp:effectExtent l="0" t="0" r="38100" b="31750"/>
                <wp:wrapNone/>
                <wp:docPr id="4" name="Straight Connector 4"/>
                <wp:cNvGraphicFramePr/>
                <a:graphic xmlns:a="http://schemas.openxmlformats.org/drawingml/2006/main">
                  <a:graphicData uri="http://schemas.microsoft.com/office/word/2010/wordprocessingShape">
                    <wps:wsp>
                      <wps:cNvCnPr/>
                      <wps:spPr>
                        <a:xfrm>
                          <a:off x="0" y="0"/>
                          <a:ext cx="0" cy="4273550"/>
                        </a:xfrm>
                        <a:prstGeom prst="line">
                          <a:avLst/>
                        </a:prstGeom>
                        <a:noFill/>
                        <a:ln w="15875" cap="flat" cmpd="sng">
                          <a:solidFill>
                            <a:srgbClr val="7B3F00"/>
                          </a:solidFill>
                          <a:prstDash val="solid"/>
                          <a:miter lim="800000"/>
                          <a:headEnd type="none" w="sm" len="sm"/>
                          <a:tailEnd type="none" w="sm" len="sm"/>
                        </a:ln>
                      </wps:spPr>
                      <wps:bodyPr/>
                    </wps:wsp>
                  </a:graphicData>
                </a:graphic>
                <wp14:sizeRelV relativeFrom="margin">
                  <wp14:pctHeight>0</wp14:pctHeight>
                </wp14:sizeRelV>
              </wp:anchor>
            </w:drawing>
          </mc:Choice>
          <mc:Fallback>
            <w:pict>
              <v:line w14:anchorId="0E3E33F1"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3pt,2.5pt" to="103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" strokecolor="#7b3f00" strokeweight="1.25pt">
                <v:stroke startarrowwidth="narrow" startarrowlength="short" endarrowwidth="narrow" endarrowlength="short" joinstyle="miter"/>
              </v:line>
            </w:pict>
          </mc:Fallback>
        </mc:AlternateContent>
      </w:r>
      <w:r w:rsidR="004A511C" w:rsidRPr="00FF2A67">
        <w:rPr>
          <w:color w:val="7B3F00"/>
        </w:rPr>
        <w:t xml:space="preserve">TAXATION STUDIES | RESEARCH ARTICLE </w:t>
      </w:r>
    </w:p>
    <w:p w14:paraId="1185801D" w14:textId="77FE8591" w:rsidR="00D3538A" w:rsidRDefault="009B6760">
      <w:pPr>
        <w:ind w:left="2410"/>
        <w:rPr>
          <w:rFonts w:ascii="Corbel" w:eastAsia="Corbel" w:hAnsi="Corbel" w:cs="Corbel"/>
          <w:b/>
          <w:sz w:val="30"/>
          <w:szCs w:val="30"/>
        </w:rPr>
      </w:pPr>
      <w:r w:rsidRPr="009B6760">
        <w:rPr>
          <w:rFonts w:ascii="Corbel" w:eastAsia="Corbel" w:hAnsi="Corbel" w:cs="Corbel"/>
          <w:b/>
          <w:sz w:val="30"/>
          <w:szCs w:val="30"/>
        </w:rPr>
        <w:t xml:space="preserve">The Influence of </w:t>
      </w:r>
      <w:r w:rsidR="00C20819" w:rsidRPr="009B6760">
        <w:rPr>
          <w:rFonts w:ascii="Corbel" w:eastAsia="Corbel" w:hAnsi="Corbel" w:cs="Corbel"/>
          <w:b/>
          <w:sz w:val="30"/>
          <w:szCs w:val="30"/>
        </w:rPr>
        <w:t>Assets,</w:t>
      </w:r>
      <w:r w:rsidRPr="009B6760">
        <w:rPr>
          <w:rFonts w:ascii="Corbel" w:eastAsia="Corbel" w:hAnsi="Corbel" w:cs="Corbel"/>
          <w:b/>
          <w:sz w:val="30"/>
          <w:szCs w:val="30"/>
        </w:rPr>
        <w:t xml:space="preserve"> Credit </w:t>
      </w:r>
      <w:r w:rsidR="00C20819" w:rsidRPr="009B6760">
        <w:rPr>
          <w:rFonts w:ascii="Corbel" w:eastAsia="Corbel" w:hAnsi="Corbel" w:cs="Corbel"/>
          <w:b/>
          <w:sz w:val="30"/>
          <w:szCs w:val="30"/>
        </w:rPr>
        <w:t>Guarantees,</w:t>
      </w:r>
      <w:r w:rsidRPr="009B6760">
        <w:rPr>
          <w:rFonts w:ascii="Corbel" w:eastAsia="Corbel" w:hAnsi="Corbel" w:cs="Corbel"/>
          <w:b/>
          <w:sz w:val="30"/>
          <w:szCs w:val="30"/>
        </w:rPr>
        <w:t xml:space="preserve"> and Interest Rates on Customer Credit Decisions</w:t>
      </w:r>
    </w:p>
    <w:p w14:paraId="491E27B8" w14:textId="77777777" w:rsidR="008C7668" w:rsidRPr="00456151" w:rsidRDefault="008C7668" w:rsidP="008C7668">
      <w:pPr>
        <w:ind w:left="2410"/>
        <w:rPr>
          <w:rFonts w:ascii="Corbel" w:eastAsia="Corbel" w:hAnsi="Corbel" w:cs="Corbel"/>
          <w:b/>
          <w:sz w:val="16"/>
          <w:szCs w:val="16"/>
          <w:highlight w:val="yellow"/>
          <w:vertAlign w:val="superscript"/>
        </w:rPr>
      </w:pPr>
      <w:r w:rsidRPr="00862C71">
        <w:rPr>
          <w:rFonts w:ascii="Corbel" w:eastAsia="Corbel" w:hAnsi="Corbel" w:cs="Corbel"/>
          <w:b/>
          <w:sz w:val="16"/>
          <w:szCs w:val="16"/>
        </w:rPr>
        <w:t>Cherly Elisabeth</w:t>
      </w:r>
      <w:r w:rsidRPr="00862C71">
        <w:rPr>
          <w:rFonts w:ascii="Corbel" w:eastAsia="Corbel" w:hAnsi="Corbel" w:cs="Corbel"/>
          <w:b/>
          <w:sz w:val="16"/>
          <w:szCs w:val="16"/>
          <w:vertAlign w:val="superscript"/>
        </w:rPr>
        <w:t>*</w:t>
      </w:r>
    </w:p>
    <w:p w14:paraId="4A7793D4" w14:textId="3424AF8B" w:rsidR="00D3538A" w:rsidRDefault="008C7668" w:rsidP="008C7668">
      <w:pPr>
        <w:spacing w:after="0"/>
        <w:ind w:left="2410"/>
        <w:rPr>
          <w:rFonts w:ascii="Corbel" w:eastAsia="Corbel" w:hAnsi="Corbel" w:cs="Corbel"/>
          <w:sz w:val="16"/>
          <w:szCs w:val="16"/>
          <w:lang w:val="en"/>
        </w:rPr>
      </w:pPr>
      <w:r w:rsidRPr="00862C71">
        <w:rPr>
          <w:rFonts w:ascii="Corbel" w:eastAsia="Corbel" w:hAnsi="Corbel" w:cs="Corbel"/>
          <w:sz w:val="16"/>
          <w:szCs w:val="16"/>
          <w:vertAlign w:val="superscript"/>
          <w:lang w:val="en"/>
        </w:rPr>
        <w:t>1</w:t>
      </w:r>
      <w:r w:rsidRPr="00862C71">
        <w:rPr>
          <w:rFonts w:ascii="Corbel" w:eastAsia="Corbel" w:hAnsi="Corbel" w:cs="Corbel"/>
          <w:sz w:val="16"/>
          <w:szCs w:val="16"/>
          <w:lang w:val="en"/>
        </w:rPr>
        <w:t xml:space="preserve"> </w:t>
      </w:r>
      <w:r w:rsidR="001B0591">
        <w:rPr>
          <w:rFonts w:ascii="Corbel" w:eastAsia="Corbel" w:hAnsi="Corbel" w:cs="Corbel"/>
          <w:sz w:val="16"/>
          <w:szCs w:val="16"/>
          <w:lang w:val="en"/>
        </w:rPr>
        <w:t xml:space="preserve">Department of Accounting, </w:t>
      </w:r>
      <w:r w:rsidRPr="00862C71">
        <w:rPr>
          <w:rFonts w:ascii="Corbel" w:eastAsia="Corbel" w:hAnsi="Corbel" w:cs="Corbel"/>
          <w:sz w:val="16"/>
          <w:szCs w:val="16"/>
          <w:lang w:val="en"/>
        </w:rPr>
        <w:t>Faculty of Economics and Business, Universitas Atmajaya, Makassar, Indonesia. Email:</w:t>
      </w:r>
      <w:hyperlink r:id="rId9" w:history="1">
        <w:r w:rsidRPr="00862C71">
          <w:rPr>
            <w:rStyle w:val="Hyperlink"/>
            <w:rFonts w:ascii="Corbel" w:eastAsia="Corbel" w:hAnsi="Corbel" w:cs="Corbel"/>
            <w:sz w:val="16"/>
            <w:szCs w:val="16"/>
            <w:lang w:val="en"/>
          </w:rPr>
          <w:t>cherlysiegers@gmail.com</w:t>
        </w:r>
      </w:hyperlink>
      <w:r w:rsidR="00D3538A">
        <w:rPr>
          <w:rFonts w:ascii="Corbel" w:eastAsia="Corbel" w:hAnsi="Corbel" w:cs="Corbel"/>
          <w:sz w:val="16"/>
          <w:szCs w:val="16"/>
          <w:lang w:val="en"/>
        </w:rPr>
        <w:t xml:space="preserve"> </w:t>
      </w:r>
    </w:p>
    <w:p w14:paraId="686F0F4B" w14:textId="77777777" w:rsidR="00D3538A" w:rsidRPr="00D3538A" w:rsidRDefault="00D3538A" w:rsidP="00D3538A">
      <w:pPr>
        <w:spacing w:after="0"/>
        <w:ind w:left="2410"/>
        <w:rPr>
          <w:rFonts w:ascii="Corbel" w:eastAsia="Corbel" w:hAnsi="Corbel" w:cs="Corbel"/>
          <w:sz w:val="16"/>
          <w:szCs w:val="16"/>
          <w:lang w:val="en"/>
        </w:rPr>
      </w:pPr>
    </w:p>
    <w:p w14:paraId="07AAA3F0" w14:textId="330F59BB" w:rsidR="006D7633" w:rsidRDefault="00FF2A67">
      <w:pPr>
        <w:ind w:left="2410"/>
        <w:jc w:val="both"/>
        <w:rPr>
          <w:rFonts w:ascii="EB Garamond" w:eastAsia="EB Garamond" w:hAnsi="EB Garamond" w:cs="EB Garamond"/>
          <w:color w:val="FF0000"/>
          <w:sz w:val="16"/>
          <w:szCs w:val="16"/>
        </w:rPr>
      </w:pPr>
      <w:r>
        <w:rPr>
          <w:noProof/>
        </w:rPr>
        <mc:AlternateContent>
          <mc:Choice Requires="wps">
            <w:drawing>
              <wp:anchor distT="0" distB="0" distL="114300" distR="114300" simplePos="0" relativeHeight="251660288" behindDoc="0" locked="0" layoutInCell="1" hidden="0" allowOverlap="1" wp14:anchorId="4725F75C" wp14:editId="5CD0EEA5">
                <wp:simplePos x="0" y="0"/>
                <wp:positionH relativeFrom="column">
                  <wp:posOffset>-606649</wp:posOffset>
                </wp:positionH>
                <wp:positionV relativeFrom="paragraph">
                  <wp:posOffset>827258</wp:posOffset>
                </wp:positionV>
                <wp:extent cx="1765300" cy="1807845"/>
                <wp:effectExtent l="0" t="0" r="6350" b="1905"/>
                <wp:wrapNone/>
                <wp:docPr id="270" name="Rectangle 270"/>
                <wp:cNvGraphicFramePr/>
                <a:graphic xmlns:a="http://schemas.openxmlformats.org/drawingml/2006/main">
                  <a:graphicData uri="http://schemas.microsoft.com/office/word/2010/wordprocessingShape">
                    <wps:wsp>
                      <wps:cNvSpPr/>
                      <wps:spPr>
                        <a:xfrm>
                          <a:off x="0" y="0"/>
                          <a:ext cx="1765300" cy="1807845"/>
                        </a:xfrm>
                        <a:prstGeom prst="rect">
                          <a:avLst/>
                        </a:prstGeom>
                        <a:solidFill>
                          <a:schemeClr val="lt1"/>
                        </a:solidFill>
                        <a:ln>
                          <a:noFill/>
                        </a:ln>
                      </wps:spPr>
                      <wps:txbx>
                        <w:txbxContent>
                          <w:p w14:paraId="72F16BDD" w14:textId="77777777" w:rsidR="008C7668" w:rsidRDefault="008C7668" w:rsidP="008C7668">
                            <w:pPr>
                              <w:spacing w:after="0" w:line="258" w:lineRule="auto"/>
                              <w:textDirection w:val="btLr"/>
                            </w:pPr>
                            <w:r w:rsidRPr="00FF2A67">
                              <w:rPr>
                                <w:color w:val="7B3F00"/>
                                <w:sz w:val="16"/>
                              </w:rPr>
                              <w:t>Received:</w:t>
                            </w:r>
                            <w:r>
                              <w:rPr>
                                <w:color w:val="000000"/>
                                <w:sz w:val="16"/>
                              </w:rPr>
                              <w:t xml:space="preserve"> 17 December 2022</w:t>
                            </w:r>
                          </w:p>
                          <w:p w14:paraId="32C40582" w14:textId="77777777" w:rsidR="008C7668" w:rsidRDefault="008C7668" w:rsidP="008C7668">
                            <w:pPr>
                              <w:spacing w:after="0" w:line="258" w:lineRule="auto"/>
                              <w:textDirection w:val="btLr"/>
                            </w:pPr>
                            <w:r w:rsidRPr="00FF2A67">
                              <w:rPr>
                                <w:color w:val="7B3F00"/>
                                <w:sz w:val="16"/>
                              </w:rPr>
                              <w:t>Revised:</w:t>
                            </w:r>
                            <w:r>
                              <w:rPr>
                                <w:color w:val="000000"/>
                                <w:sz w:val="16"/>
                              </w:rPr>
                              <w:t xml:space="preserve"> 12 February 2023</w:t>
                            </w:r>
                          </w:p>
                          <w:p w14:paraId="25140865" w14:textId="77777777" w:rsidR="008C7668" w:rsidRDefault="008C7668" w:rsidP="008C7668">
                            <w:pPr>
                              <w:spacing w:after="0" w:line="258" w:lineRule="auto"/>
                              <w:textDirection w:val="btLr"/>
                            </w:pPr>
                            <w:r w:rsidRPr="00FF2A67">
                              <w:rPr>
                                <w:color w:val="7B3F00"/>
                                <w:sz w:val="16"/>
                              </w:rPr>
                              <w:t>Accepted:</w:t>
                            </w:r>
                            <w:r>
                              <w:rPr>
                                <w:color w:val="000000"/>
                                <w:sz w:val="16"/>
                              </w:rPr>
                              <w:t xml:space="preserve"> 30 May 2023</w:t>
                            </w:r>
                          </w:p>
                          <w:p w14:paraId="0C92DF10" w14:textId="77777777" w:rsidR="008C7668" w:rsidRDefault="008C7668" w:rsidP="008C7668">
                            <w:pPr>
                              <w:spacing w:after="0" w:line="258" w:lineRule="auto"/>
                              <w:ind w:left="425" w:firstLine="425"/>
                              <w:textDirection w:val="btLr"/>
                            </w:pPr>
                          </w:p>
                          <w:p w14:paraId="79843084" w14:textId="68FEF919" w:rsidR="008C7668" w:rsidRDefault="008C7668" w:rsidP="008C7668">
                            <w:pPr>
                              <w:spacing w:after="0" w:line="258" w:lineRule="auto"/>
                              <w:textDirection w:val="btLr"/>
                            </w:pPr>
                            <w:r>
                              <w:rPr>
                                <w:color w:val="000000"/>
                                <w:sz w:val="16"/>
                              </w:rPr>
                              <w:t>*</w:t>
                            </w:r>
                            <w:r w:rsidRPr="00FF2A67">
                              <w:rPr>
                                <w:color w:val="7B3F00"/>
                                <w:sz w:val="16"/>
                              </w:rPr>
                              <w:t>Corresponding author</w:t>
                            </w:r>
                            <w:r w:rsidRPr="00A828BF">
                              <w:rPr>
                                <w:color w:val="000000"/>
                                <w:sz w:val="16"/>
                              </w:rPr>
                              <w:t xml:space="preserve"> </w:t>
                            </w:r>
                            <w:r w:rsidRPr="00862C71">
                              <w:rPr>
                                <w:color w:val="000000"/>
                                <w:sz w:val="16"/>
                              </w:rPr>
                              <w:t>Cherly Elisabeth</w:t>
                            </w:r>
                            <w:r>
                              <w:rPr>
                                <w:color w:val="000000"/>
                                <w:sz w:val="16"/>
                              </w:rPr>
                              <w:t xml:space="preserve">, </w:t>
                            </w:r>
                            <w:r w:rsidR="00F3390E">
                              <w:rPr>
                                <w:color w:val="000000"/>
                                <w:sz w:val="16"/>
                              </w:rPr>
                              <w:t xml:space="preserve">Department of Accounting, </w:t>
                            </w:r>
                            <w:r>
                              <w:rPr>
                                <w:color w:val="000000"/>
                                <w:sz w:val="16"/>
                              </w:rPr>
                              <w:t>Faculty of Economic and Business, Universitas Atmajaya, Makassar, Indonesia</w:t>
                            </w:r>
                          </w:p>
                          <w:p w14:paraId="5F4631A3" w14:textId="77777777" w:rsidR="008C7668" w:rsidRDefault="008C7668" w:rsidP="008C7668">
                            <w:pPr>
                              <w:spacing w:after="0" w:line="258" w:lineRule="auto"/>
                              <w:ind w:left="425" w:firstLine="425"/>
                              <w:textDirection w:val="btLr"/>
                            </w:pPr>
                          </w:p>
                          <w:p w14:paraId="6080C086" w14:textId="22EB1375" w:rsidR="006D7633" w:rsidRDefault="008C7668" w:rsidP="008C7668">
                            <w:pPr>
                              <w:spacing w:after="0" w:line="258" w:lineRule="auto"/>
                              <w:textDirection w:val="btLr"/>
                            </w:pPr>
                            <w:r w:rsidRPr="00FF2A67">
                              <w:rPr>
                                <w:color w:val="7B3F00"/>
                                <w:sz w:val="16"/>
                              </w:rPr>
                              <w:t xml:space="preserve">E-mail: </w:t>
                            </w:r>
                            <w:hyperlink r:id="rId10" w:history="1">
                              <w:r w:rsidRPr="00E56CBD">
                                <w:rPr>
                                  <w:rStyle w:val="Hyperlink"/>
                                  <w:sz w:val="16"/>
                                </w:rPr>
                                <w:t>cherlysiegers@gmail.com</w:t>
                              </w:r>
                            </w:hyperlink>
                            <w:r w:rsidR="00B16009">
                              <w:rPr>
                                <w:color w:val="000000"/>
                                <w:sz w:val="16"/>
                              </w:rPr>
                              <w:t xml:space="preserve"> </w:t>
                            </w:r>
                          </w:p>
                          <w:p w14:paraId="4666AD9F" w14:textId="77777777" w:rsidR="006D7633" w:rsidRDefault="006D7633" w:rsidP="00FF2A67">
                            <w:pPr>
                              <w:spacing w:after="0" w:line="258" w:lineRule="auto"/>
                              <w:ind w:left="567" w:firstLine="567"/>
                              <w:textDirection w:val="btLr"/>
                            </w:pPr>
                          </w:p>
                          <w:p w14:paraId="6C1F778A" w14:textId="77777777" w:rsidR="006D7633" w:rsidRDefault="006D7633" w:rsidP="00FF2A67">
                            <w:pPr>
                              <w:spacing w:after="0" w:line="258" w:lineRule="auto"/>
                              <w:ind w:left="567" w:firstLine="567"/>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725F75C" id="Rectangle 270" o:spid="_x0000_s1026" style="position:absolute;left:0;text-align:left;margin-left:-47.75pt;margin-top:65.15pt;width:139pt;height:14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" fillcolor="white [3201]" stroked="f">
                <v:textbox inset="2.53958mm,1.2694mm,2.53958mm,1.2694mm">
                  <w:txbxContent>
                    <w:p w14:paraId="72F16BDD" w14:textId="77777777" w:rsidR="008C7668" w:rsidRDefault="008C7668" w:rsidP="008C7668">
                      <w:pPr>
                        <w:spacing w:after="0" w:line="258" w:lineRule="auto"/>
                        <w:textDirection w:val="btLr"/>
                      </w:pPr>
                      <w:r w:rsidRPr="00FF2A67">
                        <w:rPr>
                          <w:color w:val="7B3F00"/>
                          <w:sz w:val="16"/>
                        </w:rPr>
                        <w:t>Received:</w:t>
                      </w:r>
                      <w:r>
                        <w:rPr>
                          <w:color w:val="000000"/>
                          <w:sz w:val="16"/>
                        </w:rPr>
                        <w:t xml:space="preserve"> 17 December 2022</w:t>
                      </w:r>
                    </w:p>
                    <w:p w14:paraId="32C40582" w14:textId="77777777" w:rsidR="008C7668" w:rsidRDefault="008C7668" w:rsidP="008C7668">
                      <w:pPr>
                        <w:spacing w:after="0" w:line="258" w:lineRule="auto"/>
                        <w:textDirection w:val="btLr"/>
                      </w:pPr>
                      <w:r w:rsidRPr="00FF2A67">
                        <w:rPr>
                          <w:color w:val="7B3F00"/>
                          <w:sz w:val="16"/>
                        </w:rPr>
                        <w:t>Revised:</w:t>
                      </w:r>
                      <w:r>
                        <w:rPr>
                          <w:color w:val="000000"/>
                          <w:sz w:val="16"/>
                        </w:rPr>
                        <w:t xml:space="preserve"> 12 February 2023</w:t>
                      </w:r>
                    </w:p>
                    <w:p w14:paraId="25140865" w14:textId="77777777" w:rsidR="008C7668" w:rsidRDefault="008C7668" w:rsidP="008C7668">
                      <w:pPr>
                        <w:spacing w:after="0" w:line="258" w:lineRule="auto"/>
                        <w:textDirection w:val="btLr"/>
                      </w:pPr>
                      <w:r w:rsidRPr="00FF2A67">
                        <w:rPr>
                          <w:color w:val="7B3F00"/>
                          <w:sz w:val="16"/>
                        </w:rPr>
                        <w:t>Accepted:</w:t>
                      </w:r>
                      <w:r>
                        <w:rPr>
                          <w:color w:val="000000"/>
                          <w:sz w:val="16"/>
                        </w:rPr>
                        <w:t xml:space="preserve"> 30 May 2023</w:t>
                      </w:r>
                    </w:p>
                    <w:p w14:paraId="0C92DF10" w14:textId="77777777" w:rsidR="008C7668" w:rsidRDefault="008C7668" w:rsidP="008C7668">
                      <w:pPr>
                        <w:spacing w:after="0" w:line="258" w:lineRule="auto"/>
                        <w:ind w:left="425" w:firstLine="425"/>
                        <w:textDirection w:val="btLr"/>
                      </w:pPr>
                    </w:p>
                    <w:p w14:paraId="79843084" w14:textId="68FEF919" w:rsidR="008C7668" w:rsidRDefault="008C7668" w:rsidP="008C7668">
                      <w:pPr>
                        <w:spacing w:after="0" w:line="258" w:lineRule="auto"/>
                        <w:textDirection w:val="btLr"/>
                      </w:pPr>
                      <w:r>
                        <w:rPr>
                          <w:color w:val="000000"/>
                          <w:sz w:val="16"/>
                        </w:rPr>
                        <w:t>*</w:t>
                      </w:r>
                      <w:r w:rsidRPr="00FF2A67">
                        <w:rPr>
                          <w:color w:val="7B3F00"/>
                          <w:sz w:val="16"/>
                        </w:rPr>
                        <w:t>Corresponding author</w:t>
                      </w:r>
                      <w:r w:rsidRPr="00A828BF">
                        <w:rPr>
                          <w:color w:val="000000"/>
                          <w:sz w:val="16"/>
                        </w:rPr>
                        <w:t xml:space="preserve"> </w:t>
                      </w:r>
                      <w:r w:rsidRPr="00862C71">
                        <w:rPr>
                          <w:color w:val="000000"/>
                          <w:sz w:val="16"/>
                        </w:rPr>
                        <w:t>Cherly Elisabeth</w:t>
                      </w:r>
                      <w:r>
                        <w:rPr>
                          <w:color w:val="000000"/>
                          <w:sz w:val="16"/>
                        </w:rPr>
                        <w:t xml:space="preserve">, </w:t>
                      </w:r>
                      <w:r w:rsidR="00F3390E">
                        <w:rPr>
                          <w:color w:val="000000"/>
                          <w:sz w:val="16"/>
                        </w:rPr>
                        <w:t xml:space="preserve">Department of Accounting, </w:t>
                      </w:r>
                      <w:r>
                        <w:rPr>
                          <w:color w:val="000000"/>
                          <w:sz w:val="16"/>
                        </w:rPr>
                        <w:t>Faculty of Economic and Business, Universitas Atmajaya, Makassar, Indonesia</w:t>
                      </w:r>
                    </w:p>
                    <w:p w14:paraId="5F4631A3" w14:textId="77777777" w:rsidR="008C7668" w:rsidRDefault="008C7668" w:rsidP="008C7668">
                      <w:pPr>
                        <w:spacing w:after="0" w:line="258" w:lineRule="auto"/>
                        <w:ind w:left="425" w:firstLine="425"/>
                        <w:textDirection w:val="btLr"/>
                      </w:pPr>
                    </w:p>
                    <w:p w14:paraId="6080C086" w14:textId="22EB1375" w:rsidR="006D7633" w:rsidRDefault="008C7668" w:rsidP="008C7668">
                      <w:pPr>
                        <w:spacing w:after="0" w:line="258" w:lineRule="auto"/>
                        <w:textDirection w:val="btLr"/>
                      </w:pPr>
                      <w:r w:rsidRPr="00FF2A67">
                        <w:rPr>
                          <w:color w:val="7B3F00"/>
                          <w:sz w:val="16"/>
                        </w:rPr>
                        <w:t xml:space="preserve">E-mail: </w:t>
                      </w:r>
                      <w:hyperlink r:id="rId11" w:history="1">
                        <w:r w:rsidRPr="00E56CBD">
                          <w:rPr>
                            <w:rStyle w:val="Hyperlink"/>
                            <w:sz w:val="16"/>
                          </w:rPr>
                          <w:t>cherlysiegers@gmail.com</w:t>
                        </w:r>
                      </w:hyperlink>
                      <w:r w:rsidR="00B16009">
                        <w:rPr>
                          <w:color w:val="000000"/>
                          <w:sz w:val="16"/>
                        </w:rPr>
                        <w:t xml:space="preserve"> </w:t>
                      </w:r>
                    </w:p>
                    <w:p w14:paraId="4666AD9F" w14:textId="77777777" w:rsidR="006D7633" w:rsidRDefault="006D7633" w:rsidP="00FF2A67">
                      <w:pPr>
                        <w:spacing w:after="0" w:line="258" w:lineRule="auto"/>
                        <w:ind w:left="567" w:firstLine="567"/>
                        <w:textDirection w:val="btLr"/>
                      </w:pPr>
                    </w:p>
                    <w:p w14:paraId="6C1F778A" w14:textId="77777777" w:rsidR="006D7633" w:rsidRDefault="006D7633" w:rsidP="00FF2A67">
                      <w:pPr>
                        <w:spacing w:after="0" w:line="258" w:lineRule="auto"/>
                        <w:ind w:left="567" w:firstLine="567"/>
                        <w:textDirection w:val="btLr"/>
                      </w:pPr>
                    </w:p>
                  </w:txbxContent>
                </v:textbox>
              </v:rect>
            </w:pict>
          </mc:Fallback>
        </mc:AlternateContent>
      </w:r>
      <w:r>
        <w:rPr>
          <w:rFonts w:ascii="Corbel" w:eastAsia="Corbel" w:hAnsi="Corbel" w:cs="Corbel"/>
          <w:b/>
          <w:color w:val="7B3F00"/>
          <w:sz w:val="20"/>
          <w:szCs w:val="20"/>
        </w:rPr>
        <w:t>Abstract:</w:t>
      </w:r>
      <w:r>
        <w:rPr>
          <w:rFonts w:ascii="Corbel" w:eastAsia="Corbel" w:hAnsi="Corbel" w:cs="Corbel"/>
          <w:b/>
          <w:color w:val="FF0000"/>
          <w:sz w:val="20"/>
          <w:szCs w:val="20"/>
        </w:rPr>
        <w:t xml:space="preserve"> </w:t>
      </w:r>
      <w:r w:rsidR="009B6760" w:rsidRPr="009B6760">
        <w:rPr>
          <w:rFonts w:ascii="EB Garamond" w:eastAsia="EB Garamond" w:hAnsi="EB Garamond" w:cs="EB Garamond"/>
          <w:color w:val="000000"/>
          <w:sz w:val="18"/>
          <w:szCs w:val="18"/>
        </w:rPr>
        <w:t>This research was conducted to analyze Assets, Credit Guarantees, and Interest Rates on Customer Credit Decisions at Bank SULSLBAR Majene Branch. This study uses a type of quantitative research, quantitative methods are all data expressed in the form of numbers. Data collection was carried out through a questionnaire with a quantitative approach. The sampling technique in this study was simple random sampling with a total of 100 respondents and using multiple regression analysis. The results of the study show that partially assets have a positive and significant effect on customer credit decisions, as evidenced by the t count value which is greater than t table, namely 2.337</w:t>
      </w:r>
      <w:r w:rsidR="008C7668">
        <w:rPr>
          <w:rFonts w:ascii="EB Garamond" w:eastAsia="EB Garamond" w:hAnsi="EB Garamond" w:cs="EB Garamond"/>
          <w:color w:val="000000"/>
          <w:sz w:val="18"/>
          <w:szCs w:val="18"/>
        </w:rPr>
        <w:t xml:space="preserve"> </w:t>
      </w:r>
      <w:r w:rsidR="009B6760" w:rsidRPr="009B6760">
        <w:rPr>
          <w:rFonts w:ascii="EB Garamond" w:eastAsia="EB Garamond" w:hAnsi="EB Garamond" w:cs="EB Garamond"/>
          <w:color w:val="000000"/>
          <w:sz w:val="18"/>
          <w:szCs w:val="18"/>
        </w:rPr>
        <w:t>&gt;</w:t>
      </w:r>
      <w:r w:rsidR="00B7341B">
        <w:rPr>
          <w:rFonts w:ascii="EB Garamond" w:eastAsia="EB Garamond" w:hAnsi="EB Garamond" w:cs="EB Garamond"/>
          <w:color w:val="000000"/>
          <w:sz w:val="18"/>
          <w:szCs w:val="18"/>
        </w:rPr>
        <w:t xml:space="preserve"> </w:t>
      </w:r>
      <w:r w:rsidR="009B6760" w:rsidRPr="009B6760">
        <w:rPr>
          <w:rFonts w:ascii="EB Garamond" w:eastAsia="EB Garamond" w:hAnsi="EB Garamond" w:cs="EB Garamond"/>
          <w:color w:val="000000"/>
          <w:sz w:val="18"/>
          <w:szCs w:val="18"/>
        </w:rPr>
        <w:t xml:space="preserve">1.984 and a significance level smaller than 0.05, namely 0.021. The credit guarantee variable partially also has a positive and significant effect on customer credit decisions, as evidenced by the t-value which is greater than t-table, namely 1.999&gt;1.984 and a significance level that is less than 0.05, namely 0.048. The interest rate variable partially has a positive and significant effect on customer credit decisions, as evidenced by the t-value which is greater than t-table, namely 3.648 &gt; 1.984 and a significance level that is smaller than 0.05, namely 0.000. Assets, credit </w:t>
      </w:r>
      <w:r w:rsidR="00C20819" w:rsidRPr="009B6760">
        <w:rPr>
          <w:rFonts w:ascii="EB Garamond" w:eastAsia="EB Garamond" w:hAnsi="EB Garamond" w:cs="EB Garamond"/>
          <w:color w:val="000000"/>
          <w:sz w:val="18"/>
          <w:szCs w:val="18"/>
        </w:rPr>
        <w:t>guarantees,</w:t>
      </w:r>
      <w:r w:rsidR="009B6760" w:rsidRPr="009B6760">
        <w:rPr>
          <w:rFonts w:ascii="EB Garamond" w:eastAsia="EB Garamond" w:hAnsi="EB Garamond" w:cs="EB Garamond"/>
          <w:color w:val="000000"/>
          <w:sz w:val="18"/>
          <w:szCs w:val="18"/>
        </w:rPr>
        <w:t xml:space="preserve"> and interest rates simultaneously have a positive and significant effect on customer credit decisions, as evidenced by the calculated f </w:t>
      </w:r>
      <w:r w:rsidR="008C7668" w:rsidRPr="009B6760">
        <w:rPr>
          <w:rFonts w:ascii="EB Garamond" w:eastAsia="EB Garamond" w:hAnsi="EB Garamond" w:cs="EB Garamond"/>
          <w:color w:val="000000"/>
          <w:sz w:val="18"/>
          <w:szCs w:val="18"/>
        </w:rPr>
        <w:t>value,</w:t>
      </w:r>
      <w:r w:rsidR="009B6760" w:rsidRPr="009B6760">
        <w:rPr>
          <w:rFonts w:ascii="EB Garamond" w:eastAsia="EB Garamond" w:hAnsi="EB Garamond" w:cs="EB Garamond"/>
          <w:color w:val="000000"/>
          <w:sz w:val="18"/>
          <w:szCs w:val="18"/>
        </w:rPr>
        <w:t xml:space="preserve"> which is greater than f table, namely 37.074</w:t>
      </w:r>
      <w:r w:rsidR="00C20819">
        <w:rPr>
          <w:rFonts w:ascii="EB Garamond" w:eastAsia="EB Garamond" w:hAnsi="EB Garamond" w:cs="EB Garamond"/>
          <w:color w:val="000000"/>
          <w:sz w:val="18"/>
          <w:szCs w:val="18"/>
        </w:rPr>
        <w:t xml:space="preserve"> </w:t>
      </w:r>
      <w:r w:rsidR="009B6760" w:rsidRPr="009B6760">
        <w:rPr>
          <w:rFonts w:ascii="EB Garamond" w:eastAsia="EB Garamond" w:hAnsi="EB Garamond" w:cs="EB Garamond"/>
          <w:color w:val="000000"/>
          <w:sz w:val="18"/>
          <w:szCs w:val="18"/>
        </w:rPr>
        <w:t>&gt; 2.92.</w:t>
      </w:r>
    </w:p>
    <w:p w14:paraId="366A1E19" w14:textId="5757A668" w:rsidR="00D3538A" w:rsidRPr="009B6760" w:rsidRDefault="004A511C" w:rsidP="009B6760">
      <w:pPr>
        <w:spacing w:after="0" w:line="240" w:lineRule="auto"/>
        <w:ind w:left="2410"/>
        <w:jc w:val="both"/>
        <w:rPr>
          <w:rFonts w:ascii="Corbel" w:eastAsia="Corbel" w:hAnsi="Corbel" w:cs="Corbel"/>
          <w:color w:val="FF0000"/>
          <w:sz w:val="16"/>
          <w:szCs w:val="16"/>
        </w:rPr>
      </w:pPr>
      <w:r w:rsidRPr="003424FC">
        <w:rPr>
          <w:rFonts w:ascii="Corbel" w:eastAsia="Corbel" w:hAnsi="Corbel" w:cs="Corbel"/>
          <w:b/>
          <w:color w:val="7B3F00"/>
          <w:sz w:val="16"/>
          <w:szCs w:val="16"/>
        </w:rPr>
        <w:t>Keywords</w:t>
      </w:r>
      <w:r w:rsidRPr="003424FC">
        <w:rPr>
          <w:rFonts w:ascii="Corbel" w:eastAsia="Corbel" w:hAnsi="Corbel" w:cs="Corbel"/>
          <w:color w:val="7B3F00"/>
          <w:sz w:val="16"/>
          <w:szCs w:val="16"/>
        </w:rPr>
        <w:t>:</w:t>
      </w:r>
      <w:r>
        <w:rPr>
          <w:rFonts w:ascii="Corbel" w:eastAsia="Corbel" w:hAnsi="Corbel" w:cs="Corbel"/>
          <w:sz w:val="16"/>
          <w:szCs w:val="16"/>
        </w:rPr>
        <w:t xml:space="preserve"> </w:t>
      </w:r>
      <w:r w:rsidR="009B6760" w:rsidRPr="009B6760">
        <w:rPr>
          <w:rFonts w:ascii="Corbel" w:eastAsia="Corbel" w:hAnsi="Corbel" w:cs="Corbel"/>
          <w:sz w:val="16"/>
          <w:szCs w:val="16"/>
        </w:rPr>
        <w:t>Assets, Credit Collateral, Interest Rates</w:t>
      </w:r>
    </w:p>
    <w:p w14:paraId="201170B0" w14:textId="77777777" w:rsidR="006D7633" w:rsidRDefault="006D7633">
      <w:pPr>
        <w:spacing w:after="0" w:line="240" w:lineRule="auto"/>
        <w:ind w:left="2410"/>
        <w:jc w:val="both"/>
        <w:rPr>
          <w:rFonts w:ascii="Corbel" w:eastAsia="Corbel" w:hAnsi="Corbel" w:cs="Corbel"/>
          <w:sz w:val="16"/>
          <w:szCs w:val="16"/>
        </w:rPr>
      </w:pPr>
    </w:p>
    <w:p w14:paraId="581CCDFA" w14:textId="77777777" w:rsidR="006D7633" w:rsidRDefault="004A511C">
      <w:pPr>
        <w:numPr>
          <w:ilvl w:val="0"/>
          <w:numId w:val="13"/>
        </w:numPr>
        <w:pBdr>
          <w:top w:val="nil"/>
          <w:left w:val="nil"/>
          <w:bottom w:val="nil"/>
          <w:right w:val="nil"/>
          <w:between w:val="nil"/>
        </w:pBdr>
        <w:spacing w:after="0" w:line="240" w:lineRule="auto"/>
        <w:ind w:left="1560"/>
        <w:jc w:val="both"/>
        <w:rPr>
          <w:b/>
          <w:color w:val="FF0000"/>
        </w:rPr>
      </w:pPr>
      <w:r w:rsidRPr="00FF2A67">
        <w:rPr>
          <w:b/>
          <w:color w:val="7B3F00"/>
        </w:rPr>
        <w:t xml:space="preserve">INTRODUCTION </w:t>
      </w:r>
    </w:p>
    <w:p w14:paraId="6416D8F1" w14:textId="77777777" w:rsidR="006D7633" w:rsidRDefault="006D7633">
      <w:pPr>
        <w:pBdr>
          <w:top w:val="nil"/>
          <w:left w:val="nil"/>
          <w:bottom w:val="nil"/>
          <w:right w:val="nil"/>
          <w:between w:val="nil"/>
        </w:pBdr>
        <w:spacing w:after="0" w:line="240" w:lineRule="auto"/>
        <w:ind w:left="2770"/>
        <w:jc w:val="both"/>
        <w:rPr>
          <w:rFonts w:ascii="Corbel" w:eastAsia="Corbel" w:hAnsi="Corbel" w:cs="Corbel"/>
          <w:b/>
          <w:color w:val="FF0000"/>
          <w:sz w:val="16"/>
          <w:szCs w:val="16"/>
        </w:rPr>
      </w:pPr>
    </w:p>
    <w:p w14:paraId="4B015BD2" w14:textId="372FD7B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 xml:space="preserve">The development of the regional economy today shows a direction that is increasingly integrated with the regional and international economy which can support national development. Meanwhile, current economic developments are moving fast with increasingly complex challenges. Therefore, it is necessary to make various policy adjustments in the economic sector, including the banking sector, so that it is hoped that this will improve and strengthen the national economy. Banking is the core of every country's financial system. This system includes money, credit, banking, securities, foreign exchange, underwriting, brokerage, trusts and especially in the financial sector, namely withdrawing funds from and distributing them to the public. Bank business activities are regulated in the provisions of article 6 and article 7 of Law no. 7 of 1992 concerning banking as amended by Law no. 10 of 1998 (Banking Law). Based on these provisions, broadly speaking, bank business can be grouped into three types of products, namely deposit products (Liability Based Products), such as current accounts, time deposits and savings; Assets Based Products such as credit (conventional banks) and financing (Islamic banks); and service products (Services Based Products) such as money transfers, save deposit boxes, factoring, bank guarantees, letters of credit, and so on. From the regulation of the Financial Services Authority (POJK) No. 6/POJK.03/2016 concerning Business Activities and Office Networks Based on Bank Core Capital as amended by POJK No. 17/POJK.03/2018, it can be concluded that the business activities of conventional commercial banks can be broadly grouped into fundraising, channeling </w:t>
      </w:r>
      <w:r w:rsidR="004351BC" w:rsidRPr="009B6760">
        <w:rPr>
          <w:rFonts w:ascii="EB Garamond" w:eastAsia="EB Garamond" w:hAnsi="EB Garamond" w:cs="EB Garamond"/>
          <w:color w:val="000000"/>
          <w:sz w:val="20"/>
          <w:szCs w:val="20"/>
        </w:rPr>
        <w:t>funds,</w:t>
      </w:r>
      <w:r w:rsidRPr="009B6760">
        <w:rPr>
          <w:rFonts w:ascii="EB Garamond" w:eastAsia="EB Garamond" w:hAnsi="EB Garamond" w:cs="EB Garamond"/>
          <w:color w:val="000000"/>
          <w:sz w:val="20"/>
          <w:szCs w:val="20"/>
        </w:rPr>
        <w:t xml:space="preserve"> and banking services. Based on Indonesian banking statistics released by the Financial Services Authority, general bank credit recipients based on the business sector are broadly divided into two groups, namely business field recipients (non-consumptive) and non-business credit recipients. Banks usually provide credit with physical objects such as collateral for a large area of land on which there is a permanent building equipped with a Building Permit (IMB) which was previously assessed by an </w:t>
      </w:r>
      <w:r w:rsidRPr="009B6760">
        <w:rPr>
          <w:rFonts w:ascii="EB Garamond" w:eastAsia="EB Garamond" w:hAnsi="EB Garamond" w:cs="EB Garamond"/>
          <w:color w:val="000000"/>
          <w:sz w:val="20"/>
          <w:szCs w:val="20"/>
        </w:rPr>
        <w:lastRenderedPageBreak/>
        <w:t xml:space="preserve">external appraiser. Article 8 of the Banking Act and its elucidation say that extending credit always poses a risk. One way to deal with risk is to establish collateral in </w:t>
      </w:r>
      <w:r w:rsidR="004351BC" w:rsidRPr="009B6760">
        <w:rPr>
          <w:rFonts w:ascii="EB Garamond" w:eastAsia="EB Garamond" w:hAnsi="EB Garamond" w:cs="EB Garamond"/>
          <w:color w:val="000000"/>
          <w:sz w:val="20"/>
          <w:szCs w:val="20"/>
        </w:rPr>
        <w:t>credit</w:t>
      </w:r>
      <w:r w:rsidRPr="009B6760">
        <w:rPr>
          <w:rFonts w:ascii="EB Garamond" w:eastAsia="EB Garamond" w:hAnsi="EB Garamond" w:cs="EB Garamond"/>
          <w:color w:val="000000"/>
          <w:sz w:val="20"/>
          <w:szCs w:val="20"/>
        </w:rPr>
        <w:t xml:space="preserve"> analysis.</w:t>
      </w:r>
    </w:p>
    <w:p w14:paraId="61C31AEE" w14:textId="0D5F0F29" w:rsidR="006D7633"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 xml:space="preserve">Bank Sulselbar is one of the banks in Majene Regency that provides credit services. According to the Main Director of Bank Sulselbar, Amri Mauraga quoted from kontan.co.id, he revealed that Bank Sulselbar recorded a net profit increase of 42.4% in the first semester of 2021. When compared to the same period in 2020, it was IDR 373.21 billion from the previous IDR 262.02 billion. One of the reasons for this growth is the disbursement of credit, which at </w:t>
      </w:r>
      <w:r w:rsidR="004351BC" w:rsidRPr="009B6760">
        <w:rPr>
          <w:rFonts w:ascii="EB Garamond" w:eastAsia="EB Garamond" w:hAnsi="EB Garamond" w:cs="EB Garamond"/>
          <w:color w:val="000000"/>
          <w:sz w:val="20"/>
          <w:szCs w:val="20"/>
        </w:rPr>
        <w:t>in</w:t>
      </w:r>
      <w:r w:rsidRPr="009B6760">
        <w:rPr>
          <w:rFonts w:ascii="EB Garamond" w:eastAsia="EB Garamond" w:hAnsi="EB Garamond" w:cs="EB Garamond"/>
          <w:color w:val="000000"/>
          <w:sz w:val="20"/>
          <w:szCs w:val="20"/>
        </w:rPr>
        <w:t xml:space="preserve"> the first semester of 2021, Bank Sulselbar was recorded as having disbursed loans worth IDR 19.33 trillion, growing 7% year to date (ytd). Bank Sulselbar has a very large captive market in the consumer credit segment and is the main support in accelerating national economic recovery. One of the problems faced by entrepreneurs, both micro, </w:t>
      </w:r>
      <w:proofErr w:type="gramStart"/>
      <w:r w:rsidRPr="009B6760">
        <w:rPr>
          <w:rFonts w:ascii="EB Garamond" w:eastAsia="EB Garamond" w:hAnsi="EB Garamond" w:cs="EB Garamond"/>
          <w:color w:val="000000"/>
          <w:sz w:val="20"/>
          <w:szCs w:val="20"/>
        </w:rPr>
        <w:t>small</w:t>
      </w:r>
      <w:proofErr w:type="gramEnd"/>
      <w:r w:rsidRPr="009B6760">
        <w:rPr>
          <w:rFonts w:ascii="EB Garamond" w:eastAsia="EB Garamond" w:hAnsi="EB Garamond" w:cs="EB Garamond"/>
          <w:color w:val="000000"/>
          <w:sz w:val="20"/>
          <w:szCs w:val="20"/>
        </w:rPr>
        <w:t xml:space="preserve"> and medium enterprises, is the problem of insufficient capital to run the business and to increase business growth. This makes these </w:t>
      </w:r>
      <w:r w:rsidR="004351BC" w:rsidRPr="009B6760">
        <w:rPr>
          <w:rFonts w:ascii="EB Garamond" w:eastAsia="EB Garamond" w:hAnsi="EB Garamond" w:cs="EB Garamond"/>
          <w:color w:val="000000"/>
          <w:sz w:val="20"/>
          <w:szCs w:val="20"/>
        </w:rPr>
        <w:t>SMEs</w:t>
      </w:r>
      <w:r w:rsidRPr="009B6760">
        <w:rPr>
          <w:rFonts w:ascii="EB Garamond" w:eastAsia="EB Garamond" w:hAnsi="EB Garamond" w:cs="EB Garamond"/>
          <w:color w:val="000000"/>
          <w:sz w:val="20"/>
          <w:szCs w:val="20"/>
        </w:rPr>
        <w:t xml:space="preserve"> borrow additional capital from various parties, such as banks. The loans that can be obtained can be used to improve business operations. One of the conditions for obtaining a loan is the existence of a guarantee provided by the credit applicant which can affect the credit worthiness that can be provided by the bank. With valuable collateral, you can also increase the percentage of credit given. Besides that, consideration is also given to the security of the assets that serve as collateral for credit. Low credit interest rates will influence customers to take credit at Bank Sulselbar. Bank Sulselbar's prime lending rate on average will fall by 0.78 percent per business segment in 2021. If withdrawn </w:t>
      </w:r>
      <w:r w:rsidR="004351BC" w:rsidRPr="009B6760">
        <w:rPr>
          <w:rFonts w:ascii="EB Garamond" w:eastAsia="EB Garamond" w:hAnsi="EB Garamond" w:cs="EB Garamond"/>
          <w:color w:val="000000"/>
          <w:sz w:val="20"/>
          <w:szCs w:val="20"/>
        </w:rPr>
        <w:t>from</w:t>
      </w:r>
      <w:r w:rsidRPr="009B6760">
        <w:rPr>
          <w:rFonts w:ascii="EB Garamond" w:eastAsia="EB Garamond" w:hAnsi="EB Garamond" w:cs="EB Garamond"/>
          <w:color w:val="000000"/>
          <w:sz w:val="20"/>
          <w:szCs w:val="20"/>
        </w:rPr>
        <w:t xml:space="preserve"> 2019, the company's average prime lending rate has fallen by 2.55 percent per business segment. The reduction in loan interest rates has also contributed to an increase in the number of loan realizations from 2019 to 2021. In 2019 the number of loan realizations, especially People's Business Credit (KUR) was IDR 1,185,000,000.00, while in 2020 it was IDR 1,240,000,000.00 and in 2021 there will also be a </w:t>
      </w:r>
      <w:r w:rsidR="004351BC" w:rsidRPr="009B6760">
        <w:rPr>
          <w:rFonts w:ascii="EB Garamond" w:eastAsia="EB Garamond" w:hAnsi="EB Garamond" w:cs="EB Garamond"/>
          <w:color w:val="000000"/>
          <w:sz w:val="20"/>
          <w:szCs w:val="20"/>
        </w:rPr>
        <w:t>high</w:t>
      </w:r>
      <w:r w:rsidRPr="009B6760">
        <w:rPr>
          <w:rFonts w:ascii="EB Garamond" w:eastAsia="EB Garamond" w:hAnsi="EB Garamond" w:cs="EB Garamond"/>
          <w:color w:val="000000"/>
          <w:sz w:val="20"/>
          <w:szCs w:val="20"/>
        </w:rPr>
        <w:t xml:space="preserve"> increase, namely IDR 2,600,000,000.00. With the increase in credit realization, it is hoped that it will also be able to increase capital for local MSMEs in Majene Regency. According to Wangsawidjaja (2020:5) Bank lending to customers can become bad credit. To anticipate the risk of bad credit, banks generally require debtors to provide credit guarantees and credit collateral. Collateral is a belief in the intention and ability of the customer as well as the ability of the debtor customer to repay the agreed debt. Credit decisions are made by business actors who play a role in long-term and short-term financial planning to meet asset needs (Griffin, et al, 2007: 204). To meet these asset needs, entrepreneurs can use short-term funding sources and long-term funding sources. Based on the background of the problems above, the researcher is interested in compiling a thesis with the title "The Influence of Assets, Credit Guarantees and Interest Rates on Customer Credit Decisions at Bank Sulselbar Majene Branch"</w:t>
      </w:r>
      <w:r w:rsidR="00D3538A" w:rsidRPr="00D3538A">
        <w:rPr>
          <w:rFonts w:ascii="EB Garamond" w:eastAsia="EB Garamond" w:hAnsi="EB Garamond" w:cs="EB Garamond"/>
          <w:color w:val="000000"/>
          <w:sz w:val="20"/>
          <w:szCs w:val="20"/>
        </w:rPr>
        <w:t>.</w:t>
      </w:r>
    </w:p>
    <w:p w14:paraId="4C6AE1F1" w14:textId="77777777" w:rsidR="006D7633" w:rsidRDefault="006D7633" w:rsidP="004351BC">
      <w:pPr>
        <w:pBdr>
          <w:top w:val="nil"/>
          <w:left w:val="nil"/>
          <w:bottom w:val="nil"/>
          <w:right w:val="nil"/>
          <w:between w:val="nil"/>
        </w:pBdr>
        <w:spacing w:after="0" w:line="240" w:lineRule="auto"/>
        <w:jc w:val="both"/>
        <w:rPr>
          <w:rFonts w:ascii="EB Garamond" w:eastAsia="EB Garamond" w:hAnsi="EB Garamond" w:cs="EB Garamond"/>
          <w:color w:val="000000"/>
          <w:sz w:val="20"/>
          <w:szCs w:val="20"/>
        </w:rPr>
      </w:pPr>
    </w:p>
    <w:p w14:paraId="3B6AABA0" w14:textId="77777777" w:rsidR="006D7633" w:rsidRPr="00FF2A67" w:rsidRDefault="004A511C">
      <w:pPr>
        <w:numPr>
          <w:ilvl w:val="0"/>
          <w:numId w:val="13"/>
        </w:numPr>
        <w:pBdr>
          <w:top w:val="nil"/>
          <w:left w:val="nil"/>
          <w:bottom w:val="nil"/>
          <w:right w:val="nil"/>
          <w:between w:val="nil"/>
        </w:pBdr>
        <w:spacing w:after="0" w:line="240" w:lineRule="auto"/>
        <w:ind w:left="1560"/>
        <w:jc w:val="both"/>
        <w:rPr>
          <w:rFonts w:ascii="Corbel" w:eastAsia="Corbel" w:hAnsi="Corbel" w:cs="Corbel"/>
          <w:b/>
          <w:color w:val="7B3F00"/>
        </w:rPr>
      </w:pPr>
      <w:r w:rsidRPr="00FF2A67">
        <w:rPr>
          <w:b/>
          <w:color w:val="7B3F00"/>
        </w:rPr>
        <w:t>Research Method and Materials</w:t>
      </w:r>
      <w:r w:rsidRPr="00FF2A67">
        <w:rPr>
          <w:rFonts w:ascii="Corbel" w:eastAsia="Corbel" w:hAnsi="Corbel" w:cs="Corbel"/>
          <w:b/>
          <w:color w:val="7B3F00"/>
        </w:rPr>
        <w:t xml:space="preserve"> </w:t>
      </w:r>
    </w:p>
    <w:p w14:paraId="3A596154" w14:textId="3521B14E" w:rsid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This study uses a type of quantitative research. Quantitative methods are all data expressed in the form of numbers. The use of quantitative methods because researchers want to confirm the concepts and theories that have been described in the previous chapter with the facts and data found in the field. Researchers used the questionnaire/survey method, according to Sugiyono (2016: 146) Questionnaire is data collection that is carried out with questions or written statements to respondents to answer. Research questions and respondents' answers can be submitted in writing through a questionnaire.</w:t>
      </w:r>
      <w:r>
        <w:rPr>
          <w:rFonts w:ascii="EB Garamond" w:eastAsia="EB Garamond" w:hAnsi="EB Garamond" w:cs="EB Garamond"/>
          <w:color w:val="000000"/>
          <w:sz w:val="20"/>
          <w:szCs w:val="20"/>
        </w:rPr>
        <w:t xml:space="preserve"> </w:t>
      </w:r>
      <w:r w:rsidRPr="009B6760">
        <w:rPr>
          <w:rFonts w:ascii="EB Garamond" w:eastAsia="EB Garamond" w:hAnsi="EB Garamond" w:cs="EB Garamond"/>
          <w:color w:val="000000"/>
          <w:sz w:val="20"/>
          <w:szCs w:val="20"/>
        </w:rPr>
        <w:t>This study uses quantitative data. According to Sugiyono (2017:14) Quantitative data is data in the form of numbers or data qualitative that is scored or scoring. Quantitative data in this study is the result of scoring from the questionnaire distributed to respondents.</w:t>
      </w:r>
      <w:r>
        <w:rPr>
          <w:rFonts w:ascii="EB Garamond" w:eastAsia="EB Garamond" w:hAnsi="EB Garamond" w:cs="EB Garamond"/>
          <w:color w:val="000000"/>
          <w:sz w:val="20"/>
          <w:szCs w:val="20"/>
        </w:rPr>
        <w:t xml:space="preserve"> </w:t>
      </w:r>
      <w:r w:rsidRPr="009B6760">
        <w:rPr>
          <w:rFonts w:ascii="EB Garamond" w:eastAsia="EB Garamond" w:hAnsi="EB Garamond" w:cs="EB Garamond"/>
          <w:color w:val="000000"/>
          <w:sz w:val="20"/>
          <w:szCs w:val="20"/>
        </w:rPr>
        <w:t>The data used by researchers comes from primary data. According to Sujarweni (2014: 73) primary data is data obtained from respondents through questionnaires, groups, and panels, or also data from interviews. In this study, researchers obtained primary data through the results of questionnaire data which were distributed to 10 respondents at Bank Sulselbar Majene Branch</w:t>
      </w:r>
      <w:r>
        <w:rPr>
          <w:rFonts w:ascii="EB Garamond" w:eastAsia="EB Garamond" w:hAnsi="EB Garamond" w:cs="EB Garamond"/>
          <w:color w:val="000000"/>
          <w:sz w:val="20"/>
          <w:szCs w:val="20"/>
        </w:rPr>
        <w:t xml:space="preserve">. </w:t>
      </w:r>
      <w:r w:rsidRPr="009B6760">
        <w:rPr>
          <w:rFonts w:ascii="EB Garamond" w:eastAsia="EB Garamond" w:hAnsi="EB Garamond" w:cs="EB Garamond"/>
          <w:color w:val="000000"/>
          <w:sz w:val="20"/>
          <w:szCs w:val="20"/>
        </w:rPr>
        <w:t xml:space="preserve">To obtain the data needed in this study, the authors used field research methods (Field Research), namely research conducted directly on the research object. Techniques used </w:t>
      </w:r>
      <w:r w:rsidR="004351BC" w:rsidRPr="009B6760">
        <w:rPr>
          <w:rFonts w:ascii="EB Garamond" w:eastAsia="EB Garamond" w:hAnsi="EB Garamond" w:cs="EB Garamond"/>
          <w:color w:val="000000"/>
          <w:sz w:val="20"/>
          <w:szCs w:val="20"/>
        </w:rPr>
        <w:t>include</w:t>
      </w:r>
      <w:r w:rsidRPr="009B6760">
        <w:rPr>
          <w:rFonts w:ascii="EB Garamond" w:eastAsia="EB Garamond" w:hAnsi="EB Garamond" w:cs="EB Garamond"/>
          <w:color w:val="000000"/>
          <w:sz w:val="20"/>
          <w:szCs w:val="20"/>
        </w:rPr>
        <w:t xml:space="preserve"> Observation</w:t>
      </w:r>
      <w:r>
        <w:rPr>
          <w:rFonts w:ascii="EB Garamond" w:eastAsia="EB Garamond" w:hAnsi="EB Garamond" w:cs="EB Garamond"/>
          <w:color w:val="000000"/>
          <w:sz w:val="20"/>
          <w:szCs w:val="20"/>
        </w:rPr>
        <w:t xml:space="preserve">, </w:t>
      </w:r>
      <w:r w:rsidRPr="009B6760">
        <w:rPr>
          <w:rFonts w:ascii="EB Garamond" w:eastAsia="EB Garamond" w:hAnsi="EB Garamond" w:cs="EB Garamond"/>
          <w:color w:val="000000"/>
          <w:sz w:val="20"/>
          <w:szCs w:val="20"/>
        </w:rPr>
        <w:t>Questionnaire or Questionnaire</w:t>
      </w:r>
      <w:r>
        <w:rPr>
          <w:rFonts w:ascii="EB Garamond" w:eastAsia="EB Garamond" w:hAnsi="EB Garamond" w:cs="EB Garamond"/>
          <w:color w:val="000000"/>
          <w:sz w:val="20"/>
          <w:szCs w:val="20"/>
        </w:rPr>
        <w:t xml:space="preserve">, documentation.  </w:t>
      </w:r>
      <w:r w:rsidRPr="009B6760">
        <w:rPr>
          <w:rFonts w:ascii="EB Garamond" w:eastAsia="EB Garamond" w:hAnsi="EB Garamond" w:cs="EB Garamond"/>
          <w:color w:val="000000"/>
          <w:sz w:val="20"/>
          <w:szCs w:val="20"/>
        </w:rPr>
        <w:t xml:space="preserve">The population in the study is the area that the researcher wants to study. </w:t>
      </w:r>
      <w:r w:rsidR="004351BC" w:rsidRPr="009B6760">
        <w:rPr>
          <w:rFonts w:ascii="EB Garamond" w:eastAsia="EB Garamond" w:hAnsi="EB Garamond" w:cs="EB Garamond"/>
          <w:color w:val="000000"/>
          <w:sz w:val="20"/>
          <w:szCs w:val="20"/>
        </w:rPr>
        <w:t>According</w:t>
      </w:r>
      <w:r w:rsidRPr="009B6760">
        <w:rPr>
          <w:rFonts w:ascii="EB Garamond" w:eastAsia="EB Garamond" w:hAnsi="EB Garamond" w:cs="EB Garamond"/>
          <w:color w:val="000000"/>
          <w:sz w:val="20"/>
          <w:szCs w:val="20"/>
        </w:rPr>
        <w:t xml:space="preserve"> to Sugiyono (2016: 80) Population is a generalization area consisting of objects/subjects that have certain qualities and </w:t>
      </w:r>
      <w:r w:rsidRPr="009B6760">
        <w:rPr>
          <w:rFonts w:ascii="EB Garamond" w:eastAsia="EB Garamond" w:hAnsi="EB Garamond" w:cs="EB Garamond"/>
          <w:color w:val="000000"/>
          <w:sz w:val="20"/>
          <w:szCs w:val="20"/>
        </w:rPr>
        <w:lastRenderedPageBreak/>
        <w:t>characteristics determined by researchers to study and then draw conclusions. The population of this research is the People's Business Credit (KUR) customers of Bank Sulselbar Majene Branch from 2019 to 2022, totaling 730 customers.</w:t>
      </w:r>
      <w:r>
        <w:rPr>
          <w:rFonts w:ascii="EB Garamond" w:eastAsia="EB Garamond" w:hAnsi="EB Garamond" w:cs="EB Garamond"/>
          <w:color w:val="000000"/>
          <w:sz w:val="20"/>
          <w:szCs w:val="20"/>
        </w:rPr>
        <w:t xml:space="preserve"> </w:t>
      </w:r>
      <w:r w:rsidRPr="009B6760">
        <w:rPr>
          <w:rFonts w:ascii="EB Garamond" w:eastAsia="EB Garamond" w:hAnsi="EB Garamond" w:cs="EB Garamond"/>
          <w:color w:val="000000"/>
          <w:sz w:val="20"/>
          <w:szCs w:val="20"/>
        </w:rPr>
        <w:t>The sample is part of the population that the researcher wants to study, according to Sugiyono (2016: 81). The sample is part of the number and characteristics of that population. If the population is large, and it is not possible for the researcher to study everything in the population, for example due to limited funds or time, the researcher can use a sample from that population.</w:t>
      </w:r>
      <w:r>
        <w:rPr>
          <w:rFonts w:ascii="EB Garamond" w:eastAsia="EB Garamond" w:hAnsi="EB Garamond" w:cs="EB Garamond"/>
          <w:color w:val="000000"/>
          <w:sz w:val="20"/>
          <w:szCs w:val="20"/>
        </w:rPr>
        <w:t xml:space="preserve"> </w:t>
      </w:r>
      <w:r w:rsidRPr="009B6760">
        <w:rPr>
          <w:rFonts w:ascii="EB Garamond" w:eastAsia="EB Garamond" w:hAnsi="EB Garamond" w:cs="EB Garamond"/>
          <w:color w:val="000000"/>
          <w:sz w:val="20"/>
          <w:szCs w:val="20"/>
        </w:rPr>
        <w:t>The data analysis technique used in this study is a descriptive statistical data analysis technique whose calculations are carried out using SPSS. According to Sugiyono (2016: 147) descriptive statistics are statistics that are used to analyze data by describing or describing the data that has been collected as it is without intending to make general conclusions or generalizations.</w:t>
      </w:r>
    </w:p>
    <w:p w14:paraId="70DE9540"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000D0D5" w14:textId="77777777" w:rsidR="006D7633" w:rsidRPr="00FF2A67" w:rsidRDefault="004A511C">
      <w:pPr>
        <w:numPr>
          <w:ilvl w:val="0"/>
          <w:numId w:val="13"/>
        </w:numPr>
        <w:pBdr>
          <w:top w:val="nil"/>
          <w:left w:val="nil"/>
          <w:bottom w:val="nil"/>
          <w:right w:val="nil"/>
          <w:between w:val="nil"/>
        </w:pBdr>
        <w:spacing w:after="0" w:line="240" w:lineRule="auto"/>
        <w:ind w:left="1560"/>
        <w:jc w:val="both"/>
        <w:rPr>
          <w:color w:val="7B3F00"/>
        </w:rPr>
      </w:pPr>
      <w:r w:rsidRPr="00FF2A67">
        <w:rPr>
          <w:b/>
          <w:color w:val="7B3F00"/>
        </w:rPr>
        <w:t xml:space="preserve">Results and Discussion </w:t>
      </w:r>
    </w:p>
    <w:p w14:paraId="3A583C6B" w14:textId="6A178739" w:rsidR="006D7633"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Multiple regression analysis is used to test the variables Assets (X1), Collateral (X2), Interest Rates (X3) and Credit Decision (Y). The regression equation can be taken in the SPSS output table below:</w:t>
      </w:r>
    </w:p>
    <w:p w14:paraId="2BEF764B" w14:textId="77777777" w:rsidR="009B6760" w:rsidRDefault="009B6760" w:rsidP="009B6760">
      <w:pPr>
        <w:pBdr>
          <w:top w:val="nil"/>
          <w:left w:val="nil"/>
          <w:bottom w:val="nil"/>
          <w:right w:val="nil"/>
          <w:between w:val="nil"/>
        </w:pBdr>
        <w:spacing w:after="0" w:line="240" w:lineRule="auto"/>
        <w:ind w:left="1276" w:firstLine="284"/>
        <w:jc w:val="center"/>
        <w:rPr>
          <w:rFonts w:ascii="EB Garamond" w:eastAsia="EB Garamond" w:hAnsi="EB Garamond" w:cs="EB Garamond"/>
          <w:b/>
          <w:bCs/>
          <w:color w:val="000000"/>
          <w:sz w:val="20"/>
          <w:szCs w:val="20"/>
        </w:rPr>
      </w:pPr>
    </w:p>
    <w:p w14:paraId="4E19122F" w14:textId="0AF69E90" w:rsidR="009B6760" w:rsidRDefault="009B6760" w:rsidP="009B6760">
      <w:pPr>
        <w:pBdr>
          <w:top w:val="nil"/>
          <w:left w:val="nil"/>
          <w:bottom w:val="nil"/>
          <w:right w:val="nil"/>
          <w:between w:val="nil"/>
        </w:pBdr>
        <w:spacing w:after="0" w:line="240" w:lineRule="auto"/>
        <w:ind w:left="1276" w:firstLine="284"/>
        <w:jc w:val="center"/>
        <w:rPr>
          <w:rFonts w:ascii="EB Garamond" w:eastAsia="EB Garamond" w:hAnsi="EB Garamond" w:cs="EB Garamond"/>
          <w:b/>
          <w:bCs/>
          <w:color w:val="000000"/>
          <w:sz w:val="20"/>
          <w:szCs w:val="20"/>
        </w:rPr>
      </w:pPr>
      <w:r w:rsidRPr="009B6760">
        <w:rPr>
          <w:rFonts w:ascii="EB Garamond" w:eastAsia="EB Garamond" w:hAnsi="EB Garamond" w:cs="EB Garamond"/>
          <w:b/>
          <w:bCs/>
          <w:color w:val="000000"/>
          <w:sz w:val="20"/>
          <w:szCs w:val="20"/>
        </w:rPr>
        <w:t>Table 1</w:t>
      </w:r>
      <w:r w:rsidR="00F40135">
        <w:rPr>
          <w:rFonts w:ascii="EB Garamond" w:eastAsia="EB Garamond" w:hAnsi="EB Garamond" w:cs="EB Garamond"/>
          <w:b/>
          <w:bCs/>
          <w:color w:val="000000"/>
          <w:sz w:val="20"/>
          <w:szCs w:val="20"/>
        </w:rPr>
        <w:t>.</w:t>
      </w:r>
      <w:r w:rsidRPr="009B6760">
        <w:rPr>
          <w:rFonts w:ascii="EB Garamond" w:eastAsia="EB Garamond" w:hAnsi="EB Garamond" w:cs="EB Garamond"/>
          <w:b/>
          <w:bCs/>
          <w:color w:val="000000"/>
          <w:sz w:val="20"/>
          <w:szCs w:val="20"/>
        </w:rPr>
        <w:t xml:space="preserve"> Coefficients</w:t>
      </w:r>
    </w:p>
    <w:tbl>
      <w:tblPr>
        <w:tblW w:w="779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3120"/>
        <w:gridCol w:w="1559"/>
        <w:gridCol w:w="1276"/>
        <w:gridCol w:w="567"/>
        <w:gridCol w:w="850"/>
      </w:tblGrid>
      <w:tr w:rsidR="004351BC" w:rsidRPr="004351BC" w14:paraId="5A763C65" w14:textId="77777777" w:rsidTr="00F40135">
        <w:tc>
          <w:tcPr>
            <w:tcW w:w="5103" w:type="dxa"/>
            <w:gridSpan w:val="3"/>
            <w:shd w:val="clear" w:color="auto" w:fill="7B3F00"/>
            <w:vAlign w:val="center"/>
          </w:tcPr>
          <w:p w14:paraId="09596FB4" w14:textId="77777777" w:rsidR="004351BC" w:rsidRPr="004351BC" w:rsidRDefault="004351BC" w:rsidP="004351BC">
            <w:pPr>
              <w:spacing w:after="0" w:line="240" w:lineRule="auto"/>
              <w:jc w:val="center"/>
              <w:rPr>
                <w:rFonts w:ascii="EB Garamond" w:eastAsia="EB Garamond" w:hAnsi="EB Garamond" w:cs="EB Garamond"/>
                <w:b/>
                <w:bCs/>
                <w:color w:val="FFFFFF" w:themeColor="background1"/>
                <w:sz w:val="18"/>
                <w:szCs w:val="18"/>
              </w:rPr>
            </w:pPr>
            <w:r w:rsidRPr="004351BC">
              <w:rPr>
                <w:rFonts w:ascii="EB Garamond" w:eastAsia="EB Garamond" w:hAnsi="EB Garamond" w:cs="EB Garamond"/>
                <w:b/>
                <w:bCs/>
                <w:color w:val="FFFFFF" w:themeColor="background1"/>
                <w:sz w:val="18"/>
                <w:szCs w:val="18"/>
              </w:rPr>
              <w:t>Unstandardized Coefficients</w:t>
            </w:r>
          </w:p>
        </w:tc>
        <w:tc>
          <w:tcPr>
            <w:tcW w:w="1276" w:type="dxa"/>
            <w:shd w:val="clear" w:color="auto" w:fill="7B3F00"/>
            <w:vAlign w:val="center"/>
          </w:tcPr>
          <w:p w14:paraId="471F0B55" w14:textId="77777777" w:rsidR="004351BC" w:rsidRPr="004351BC" w:rsidRDefault="004351BC" w:rsidP="004351BC">
            <w:pPr>
              <w:spacing w:after="0" w:line="240" w:lineRule="auto"/>
              <w:ind w:left="26"/>
              <w:jc w:val="center"/>
              <w:rPr>
                <w:rFonts w:ascii="EB Garamond" w:eastAsia="EB Garamond" w:hAnsi="EB Garamond" w:cs="EB Garamond"/>
                <w:b/>
                <w:bCs/>
                <w:color w:val="FFFFFF" w:themeColor="background1"/>
                <w:sz w:val="18"/>
                <w:szCs w:val="18"/>
              </w:rPr>
            </w:pPr>
            <w:r w:rsidRPr="004351BC">
              <w:rPr>
                <w:rFonts w:ascii="EB Garamond" w:eastAsia="EB Garamond" w:hAnsi="EB Garamond" w:cs="EB Garamond"/>
                <w:b/>
                <w:bCs/>
                <w:color w:val="FFFFFF" w:themeColor="background1"/>
                <w:sz w:val="18"/>
                <w:szCs w:val="18"/>
              </w:rPr>
              <w:t>standardized Coefficients</w:t>
            </w:r>
          </w:p>
        </w:tc>
        <w:tc>
          <w:tcPr>
            <w:tcW w:w="567" w:type="dxa"/>
            <w:shd w:val="clear" w:color="auto" w:fill="7B3F00"/>
            <w:vAlign w:val="center"/>
          </w:tcPr>
          <w:p w14:paraId="0D028589" w14:textId="77777777" w:rsidR="004351BC" w:rsidRPr="004351BC" w:rsidRDefault="004351BC" w:rsidP="004351BC">
            <w:pPr>
              <w:spacing w:after="0" w:line="240" w:lineRule="auto"/>
              <w:ind w:left="5"/>
              <w:jc w:val="center"/>
              <w:rPr>
                <w:rFonts w:ascii="EB Garamond" w:eastAsia="EB Garamond" w:hAnsi="EB Garamond" w:cs="EB Garamond"/>
                <w:b/>
                <w:bCs/>
                <w:color w:val="FFFFFF" w:themeColor="background1"/>
                <w:sz w:val="18"/>
                <w:szCs w:val="18"/>
              </w:rPr>
            </w:pPr>
            <w:r w:rsidRPr="004351BC">
              <w:rPr>
                <w:rFonts w:ascii="EB Garamond" w:eastAsia="EB Garamond" w:hAnsi="EB Garamond" w:cs="EB Garamond"/>
                <w:b/>
                <w:bCs/>
                <w:color w:val="FFFFFF" w:themeColor="background1"/>
                <w:sz w:val="18"/>
                <w:szCs w:val="18"/>
              </w:rPr>
              <w:t>t</w:t>
            </w:r>
          </w:p>
        </w:tc>
        <w:tc>
          <w:tcPr>
            <w:tcW w:w="850" w:type="dxa"/>
            <w:shd w:val="clear" w:color="auto" w:fill="7B3F00"/>
            <w:vAlign w:val="center"/>
          </w:tcPr>
          <w:p w14:paraId="34C9A173" w14:textId="77777777" w:rsidR="004351BC" w:rsidRPr="004351BC" w:rsidRDefault="004351BC" w:rsidP="004351BC">
            <w:pPr>
              <w:spacing w:after="0" w:line="240" w:lineRule="auto"/>
              <w:ind w:left="159"/>
              <w:rPr>
                <w:rFonts w:ascii="EB Garamond" w:eastAsia="EB Garamond" w:hAnsi="EB Garamond" w:cs="EB Garamond"/>
                <w:b/>
                <w:bCs/>
                <w:color w:val="FFFFFF" w:themeColor="background1"/>
                <w:sz w:val="18"/>
                <w:szCs w:val="18"/>
              </w:rPr>
            </w:pPr>
            <w:r w:rsidRPr="004351BC">
              <w:rPr>
                <w:rFonts w:ascii="EB Garamond" w:eastAsia="EB Garamond" w:hAnsi="EB Garamond" w:cs="EB Garamond"/>
                <w:b/>
                <w:bCs/>
                <w:color w:val="FFFFFF" w:themeColor="background1"/>
                <w:sz w:val="18"/>
                <w:szCs w:val="18"/>
              </w:rPr>
              <w:t>Sig.</w:t>
            </w:r>
          </w:p>
        </w:tc>
      </w:tr>
      <w:tr w:rsidR="004351BC" w:rsidRPr="004351BC" w14:paraId="165DA477" w14:textId="77777777" w:rsidTr="00F40135">
        <w:tc>
          <w:tcPr>
            <w:tcW w:w="3544" w:type="dxa"/>
            <w:gridSpan w:val="2"/>
            <w:shd w:val="clear" w:color="auto" w:fill="auto"/>
            <w:vAlign w:val="center"/>
          </w:tcPr>
          <w:p w14:paraId="337B3C8F" w14:textId="4B5E19D6" w:rsidR="004351BC" w:rsidRPr="004351BC" w:rsidRDefault="004351BC" w:rsidP="004351BC">
            <w:pPr>
              <w:spacing w:after="0" w:line="240" w:lineRule="auto"/>
              <w:jc w:val="center"/>
              <w:rPr>
                <w:rFonts w:ascii="EB Garamond" w:eastAsia="EB Garamond" w:hAnsi="EB Garamond" w:cs="EB Garamond"/>
                <w:sz w:val="18"/>
                <w:szCs w:val="18"/>
              </w:rPr>
            </w:pPr>
            <w:r w:rsidRPr="004351BC">
              <w:rPr>
                <w:rFonts w:ascii="EB Garamond" w:eastAsia="EB Garamond" w:hAnsi="EB Garamond" w:cs="EB Garamond"/>
                <w:sz w:val="18"/>
                <w:szCs w:val="18"/>
              </w:rPr>
              <w:t>Model</w:t>
            </w:r>
          </w:p>
        </w:tc>
        <w:tc>
          <w:tcPr>
            <w:tcW w:w="1559" w:type="dxa"/>
            <w:shd w:val="clear" w:color="auto" w:fill="auto"/>
            <w:vAlign w:val="center"/>
          </w:tcPr>
          <w:p w14:paraId="3620561C" w14:textId="116B4B7D" w:rsidR="004351BC" w:rsidRPr="004351BC" w:rsidRDefault="004351BC" w:rsidP="004351BC">
            <w:pPr>
              <w:spacing w:after="0" w:line="240" w:lineRule="auto"/>
              <w:jc w:val="center"/>
              <w:rPr>
                <w:rFonts w:ascii="EB Garamond" w:eastAsia="EB Garamond" w:hAnsi="EB Garamond" w:cs="EB Garamond"/>
                <w:sz w:val="18"/>
                <w:szCs w:val="18"/>
              </w:rPr>
            </w:pPr>
            <w:r w:rsidRPr="004351BC">
              <w:rPr>
                <w:rFonts w:ascii="EB Garamond" w:eastAsia="EB Garamond" w:hAnsi="EB Garamond" w:cs="EB Garamond"/>
                <w:sz w:val="18"/>
                <w:szCs w:val="18"/>
              </w:rPr>
              <w:t>std.</w:t>
            </w:r>
            <w:r>
              <w:rPr>
                <w:rFonts w:ascii="EB Garamond" w:eastAsia="EB Garamond" w:hAnsi="EB Garamond" w:cs="EB Garamond"/>
                <w:sz w:val="18"/>
                <w:szCs w:val="18"/>
              </w:rPr>
              <w:t xml:space="preserve"> </w:t>
            </w:r>
            <w:r w:rsidRPr="004351BC">
              <w:rPr>
                <w:rFonts w:ascii="EB Garamond" w:eastAsia="EB Garamond" w:hAnsi="EB Garamond" w:cs="EB Garamond"/>
                <w:sz w:val="18"/>
                <w:szCs w:val="18"/>
              </w:rPr>
              <w:t>Error</w:t>
            </w:r>
          </w:p>
        </w:tc>
        <w:tc>
          <w:tcPr>
            <w:tcW w:w="1276" w:type="dxa"/>
            <w:shd w:val="clear" w:color="auto" w:fill="auto"/>
            <w:vAlign w:val="center"/>
          </w:tcPr>
          <w:p w14:paraId="119448D1" w14:textId="77777777" w:rsidR="004351BC" w:rsidRPr="004351BC" w:rsidRDefault="004351BC" w:rsidP="006F5130">
            <w:pPr>
              <w:spacing w:after="0" w:line="240" w:lineRule="auto"/>
              <w:jc w:val="center"/>
              <w:rPr>
                <w:rFonts w:ascii="EB Garamond" w:eastAsia="EB Garamond" w:hAnsi="EB Garamond" w:cs="EB Garamond"/>
                <w:sz w:val="18"/>
                <w:szCs w:val="18"/>
              </w:rPr>
            </w:pPr>
            <w:r w:rsidRPr="004351BC">
              <w:rPr>
                <w:rFonts w:ascii="EB Garamond" w:eastAsia="EB Garamond" w:hAnsi="EB Garamond" w:cs="EB Garamond"/>
                <w:sz w:val="18"/>
                <w:szCs w:val="18"/>
              </w:rPr>
              <w:t>Betas</w:t>
            </w:r>
          </w:p>
        </w:tc>
        <w:tc>
          <w:tcPr>
            <w:tcW w:w="567" w:type="dxa"/>
            <w:shd w:val="clear" w:color="auto" w:fill="auto"/>
            <w:vAlign w:val="center"/>
          </w:tcPr>
          <w:p w14:paraId="00BA28D6" w14:textId="77777777" w:rsidR="004351BC" w:rsidRPr="004351BC" w:rsidRDefault="004351BC" w:rsidP="004351BC">
            <w:pPr>
              <w:spacing w:after="0" w:line="240" w:lineRule="auto"/>
              <w:jc w:val="center"/>
              <w:rPr>
                <w:rFonts w:ascii="EB Garamond" w:eastAsia="EB Garamond" w:hAnsi="EB Garamond" w:cs="EB Garamond"/>
                <w:sz w:val="18"/>
                <w:szCs w:val="18"/>
              </w:rPr>
            </w:pPr>
          </w:p>
        </w:tc>
        <w:tc>
          <w:tcPr>
            <w:tcW w:w="850" w:type="dxa"/>
            <w:shd w:val="clear" w:color="auto" w:fill="auto"/>
            <w:vAlign w:val="center"/>
          </w:tcPr>
          <w:p w14:paraId="00BD41FC" w14:textId="77777777" w:rsidR="004351BC" w:rsidRPr="004351BC" w:rsidRDefault="004351BC" w:rsidP="004351BC">
            <w:pPr>
              <w:spacing w:after="0" w:line="240" w:lineRule="auto"/>
              <w:jc w:val="center"/>
              <w:rPr>
                <w:rFonts w:ascii="EB Garamond" w:eastAsia="EB Garamond" w:hAnsi="EB Garamond" w:cs="EB Garamond"/>
                <w:sz w:val="18"/>
                <w:szCs w:val="18"/>
              </w:rPr>
            </w:pPr>
          </w:p>
        </w:tc>
      </w:tr>
      <w:tr w:rsidR="004351BC" w:rsidRPr="004351BC" w14:paraId="33CF5271" w14:textId="77777777" w:rsidTr="00F40135">
        <w:tc>
          <w:tcPr>
            <w:tcW w:w="424" w:type="dxa"/>
            <w:vMerge w:val="restart"/>
            <w:shd w:val="clear" w:color="auto" w:fill="auto"/>
            <w:vAlign w:val="center"/>
          </w:tcPr>
          <w:p w14:paraId="217B25ED" w14:textId="77777777" w:rsidR="004351BC" w:rsidRPr="004351BC" w:rsidRDefault="004351BC" w:rsidP="004351BC">
            <w:pPr>
              <w:spacing w:after="0" w:line="240" w:lineRule="auto"/>
              <w:jc w:val="center"/>
              <w:rPr>
                <w:rFonts w:ascii="EB Garamond" w:eastAsia="EB Garamond" w:hAnsi="EB Garamond" w:cs="EB Garamond"/>
                <w:sz w:val="18"/>
                <w:szCs w:val="18"/>
              </w:rPr>
            </w:pPr>
            <w:r w:rsidRPr="004351BC">
              <w:rPr>
                <w:rFonts w:ascii="EB Garamond" w:eastAsia="EB Garamond" w:hAnsi="EB Garamond" w:cs="EB Garamond"/>
                <w:sz w:val="18"/>
                <w:szCs w:val="18"/>
              </w:rPr>
              <w:t>1</w:t>
            </w:r>
          </w:p>
        </w:tc>
        <w:tc>
          <w:tcPr>
            <w:tcW w:w="3120" w:type="dxa"/>
            <w:shd w:val="clear" w:color="auto" w:fill="auto"/>
            <w:vAlign w:val="center"/>
          </w:tcPr>
          <w:p w14:paraId="0C6AAD86" w14:textId="77777777" w:rsidR="004351BC" w:rsidRPr="004351BC" w:rsidRDefault="004351BC" w:rsidP="004351BC">
            <w:pPr>
              <w:spacing w:after="0" w:line="240" w:lineRule="auto"/>
              <w:jc w:val="center"/>
              <w:rPr>
                <w:rFonts w:ascii="EB Garamond" w:eastAsia="EB Garamond" w:hAnsi="EB Garamond" w:cs="EB Garamond"/>
                <w:sz w:val="18"/>
                <w:szCs w:val="18"/>
              </w:rPr>
            </w:pPr>
            <w:r w:rsidRPr="004351BC">
              <w:rPr>
                <w:rFonts w:ascii="EB Garamond" w:eastAsia="EB Garamond" w:hAnsi="EB Garamond" w:cs="EB Garamond"/>
                <w:sz w:val="18"/>
                <w:szCs w:val="18"/>
              </w:rPr>
              <w:t>(Constant)</w:t>
            </w:r>
          </w:p>
        </w:tc>
        <w:tc>
          <w:tcPr>
            <w:tcW w:w="1559" w:type="dxa"/>
            <w:shd w:val="clear" w:color="auto" w:fill="auto"/>
            <w:vAlign w:val="center"/>
          </w:tcPr>
          <w:p w14:paraId="738F9889" w14:textId="77777777" w:rsidR="004351BC" w:rsidRPr="004351BC" w:rsidRDefault="004351BC" w:rsidP="004351BC">
            <w:pPr>
              <w:spacing w:after="0" w:line="240" w:lineRule="auto"/>
              <w:jc w:val="center"/>
              <w:rPr>
                <w:rFonts w:ascii="EB Garamond" w:eastAsia="EB Garamond" w:hAnsi="EB Garamond" w:cs="EB Garamond"/>
                <w:sz w:val="18"/>
                <w:szCs w:val="18"/>
              </w:rPr>
            </w:pPr>
            <w:r w:rsidRPr="004351BC">
              <w:rPr>
                <w:rFonts w:ascii="EB Garamond" w:eastAsia="EB Garamond" w:hAnsi="EB Garamond" w:cs="EB Garamond"/>
                <w:sz w:val="18"/>
                <w:szCs w:val="18"/>
              </w:rPr>
              <w:t>,057</w:t>
            </w:r>
          </w:p>
        </w:tc>
        <w:tc>
          <w:tcPr>
            <w:tcW w:w="1276" w:type="dxa"/>
            <w:shd w:val="clear" w:color="auto" w:fill="auto"/>
            <w:vAlign w:val="center"/>
          </w:tcPr>
          <w:p w14:paraId="66DBBC13" w14:textId="77777777" w:rsidR="004351BC" w:rsidRPr="004351BC" w:rsidRDefault="004351BC" w:rsidP="004351BC">
            <w:pPr>
              <w:spacing w:after="0" w:line="240" w:lineRule="auto"/>
              <w:ind w:right="49"/>
              <w:jc w:val="center"/>
              <w:rPr>
                <w:rFonts w:ascii="EB Garamond" w:eastAsia="EB Garamond" w:hAnsi="EB Garamond" w:cs="EB Garamond"/>
                <w:sz w:val="18"/>
                <w:szCs w:val="18"/>
              </w:rPr>
            </w:pPr>
            <w:r w:rsidRPr="004351BC">
              <w:rPr>
                <w:rFonts w:ascii="EB Garamond" w:eastAsia="EB Garamond" w:hAnsi="EB Garamond" w:cs="EB Garamond"/>
                <w:sz w:val="18"/>
                <w:szCs w:val="18"/>
              </w:rPr>
              <w:t>,904</w:t>
            </w:r>
          </w:p>
        </w:tc>
        <w:tc>
          <w:tcPr>
            <w:tcW w:w="567" w:type="dxa"/>
            <w:shd w:val="clear" w:color="auto" w:fill="auto"/>
            <w:vAlign w:val="center"/>
          </w:tcPr>
          <w:p w14:paraId="16CB0BEE" w14:textId="77777777" w:rsidR="004351BC" w:rsidRPr="004351BC" w:rsidRDefault="004351BC" w:rsidP="004351BC">
            <w:pPr>
              <w:spacing w:after="0" w:line="240" w:lineRule="auto"/>
              <w:jc w:val="center"/>
              <w:rPr>
                <w:rFonts w:ascii="EB Garamond" w:eastAsia="EB Garamond" w:hAnsi="EB Garamond" w:cs="EB Garamond"/>
                <w:sz w:val="18"/>
                <w:szCs w:val="18"/>
              </w:rPr>
            </w:pPr>
          </w:p>
        </w:tc>
        <w:tc>
          <w:tcPr>
            <w:tcW w:w="850" w:type="dxa"/>
            <w:shd w:val="clear" w:color="auto" w:fill="auto"/>
            <w:vAlign w:val="center"/>
          </w:tcPr>
          <w:p w14:paraId="069579F0" w14:textId="77777777" w:rsidR="004351BC" w:rsidRPr="004351BC" w:rsidRDefault="004351BC" w:rsidP="004351BC">
            <w:pPr>
              <w:spacing w:after="0" w:line="240" w:lineRule="auto"/>
              <w:ind w:right="50"/>
              <w:jc w:val="center"/>
              <w:rPr>
                <w:rFonts w:ascii="EB Garamond" w:eastAsia="EB Garamond" w:hAnsi="EB Garamond" w:cs="EB Garamond"/>
                <w:sz w:val="18"/>
                <w:szCs w:val="18"/>
              </w:rPr>
            </w:pPr>
            <w:r w:rsidRPr="004351BC">
              <w:rPr>
                <w:rFonts w:ascii="EB Garamond" w:eastAsia="EB Garamond" w:hAnsi="EB Garamond" w:cs="EB Garamond"/>
                <w:sz w:val="18"/>
                <w:szCs w:val="18"/>
              </w:rPr>
              <w:t>,063</w:t>
            </w:r>
          </w:p>
        </w:tc>
      </w:tr>
      <w:tr w:rsidR="004351BC" w:rsidRPr="004351BC" w14:paraId="49D9D8B7" w14:textId="77777777" w:rsidTr="00F40135">
        <w:tc>
          <w:tcPr>
            <w:tcW w:w="424" w:type="dxa"/>
            <w:vMerge/>
            <w:shd w:val="clear" w:color="auto" w:fill="auto"/>
            <w:vAlign w:val="center"/>
          </w:tcPr>
          <w:p w14:paraId="339A7B10" w14:textId="77777777" w:rsidR="004351BC" w:rsidRPr="004351BC" w:rsidRDefault="004351BC" w:rsidP="004351BC">
            <w:pPr>
              <w:spacing w:after="0" w:line="240" w:lineRule="auto"/>
              <w:jc w:val="center"/>
              <w:rPr>
                <w:rFonts w:ascii="EB Garamond" w:eastAsia="EB Garamond" w:hAnsi="EB Garamond" w:cs="EB Garamond"/>
                <w:sz w:val="18"/>
                <w:szCs w:val="18"/>
              </w:rPr>
            </w:pPr>
          </w:p>
        </w:tc>
        <w:tc>
          <w:tcPr>
            <w:tcW w:w="3120" w:type="dxa"/>
            <w:shd w:val="clear" w:color="auto" w:fill="auto"/>
            <w:vAlign w:val="center"/>
          </w:tcPr>
          <w:p w14:paraId="486FEFA0" w14:textId="77777777" w:rsidR="004351BC" w:rsidRPr="004351BC" w:rsidRDefault="004351BC" w:rsidP="004351BC">
            <w:pPr>
              <w:spacing w:after="0" w:line="240" w:lineRule="auto"/>
              <w:jc w:val="center"/>
              <w:rPr>
                <w:rFonts w:ascii="EB Garamond" w:eastAsia="EB Garamond" w:hAnsi="EB Garamond" w:cs="EB Garamond"/>
                <w:sz w:val="18"/>
                <w:szCs w:val="18"/>
              </w:rPr>
            </w:pPr>
            <w:r w:rsidRPr="004351BC">
              <w:rPr>
                <w:rFonts w:ascii="EB Garamond" w:eastAsia="EB Garamond" w:hAnsi="EB Garamond" w:cs="EB Garamond"/>
                <w:sz w:val="18"/>
                <w:szCs w:val="18"/>
              </w:rPr>
              <w:t>Asset</w:t>
            </w:r>
          </w:p>
        </w:tc>
        <w:tc>
          <w:tcPr>
            <w:tcW w:w="1559" w:type="dxa"/>
            <w:shd w:val="clear" w:color="auto" w:fill="auto"/>
            <w:vAlign w:val="center"/>
          </w:tcPr>
          <w:p w14:paraId="0948ACAA" w14:textId="77777777" w:rsidR="004351BC" w:rsidRPr="004351BC" w:rsidRDefault="004351BC" w:rsidP="004351BC">
            <w:pPr>
              <w:spacing w:after="0" w:line="240" w:lineRule="auto"/>
              <w:jc w:val="center"/>
              <w:rPr>
                <w:rFonts w:ascii="EB Garamond" w:eastAsia="EB Garamond" w:hAnsi="EB Garamond" w:cs="EB Garamond"/>
                <w:sz w:val="18"/>
                <w:szCs w:val="18"/>
              </w:rPr>
            </w:pPr>
            <w:r w:rsidRPr="004351BC">
              <w:rPr>
                <w:rFonts w:ascii="EB Garamond" w:eastAsia="EB Garamond" w:hAnsi="EB Garamond" w:cs="EB Garamond"/>
                <w:sz w:val="18"/>
                <w:szCs w:val="18"/>
              </w:rPr>
              <w:t>,120</w:t>
            </w:r>
          </w:p>
        </w:tc>
        <w:tc>
          <w:tcPr>
            <w:tcW w:w="1276" w:type="dxa"/>
            <w:shd w:val="clear" w:color="auto" w:fill="auto"/>
            <w:vAlign w:val="center"/>
          </w:tcPr>
          <w:p w14:paraId="44149993" w14:textId="77777777" w:rsidR="004351BC" w:rsidRPr="004351BC" w:rsidRDefault="004351BC" w:rsidP="004351BC">
            <w:pPr>
              <w:spacing w:after="0" w:line="240" w:lineRule="auto"/>
              <w:ind w:right="49"/>
              <w:jc w:val="center"/>
              <w:rPr>
                <w:rFonts w:ascii="EB Garamond" w:eastAsia="EB Garamond" w:hAnsi="EB Garamond" w:cs="EB Garamond"/>
                <w:sz w:val="18"/>
                <w:szCs w:val="18"/>
              </w:rPr>
            </w:pPr>
            <w:r w:rsidRPr="004351BC">
              <w:rPr>
                <w:rFonts w:ascii="EB Garamond" w:eastAsia="EB Garamond" w:hAnsi="EB Garamond" w:cs="EB Garamond"/>
                <w:sz w:val="18"/>
                <w:szCs w:val="18"/>
              </w:rPr>
              <w:t>.051</w:t>
            </w:r>
          </w:p>
        </w:tc>
        <w:tc>
          <w:tcPr>
            <w:tcW w:w="567" w:type="dxa"/>
            <w:shd w:val="clear" w:color="auto" w:fill="auto"/>
            <w:vAlign w:val="center"/>
          </w:tcPr>
          <w:p w14:paraId="65546F7F" w14:textId="77777777" w:rsidR="004351BC" w:rsidRPr="004351BC" w:rsidRDefault="004351BC" w:rsidP="004351BC">
            <w:pPr>
              <w:spacing w:after="0" w:line="240" w:lineRule="auto"/>
              <w:ind w:right="49"/>
              <w:jc w:val="center"/>
              <w:rPr>
                <w:rFonts w:ascii="EB Garamond" w:eastAsia="EB Garamond" w:hAnsi="EB Garamond" w:cs="EB Garamond"/>
                <w:sz w:val="18"/>
                <w:szCs w:val="18"/>
              </w:rPr>
            </w:pPr>
            <w:r w:rsidRPr="004351BC">
              <w:rPr>
                <w:rFonts w:ascii="EB Garamond" w:eastAsia="EB Garamond" w:hAnsi="EB Garamond" w:cs="EB Garamond"/>
                <w:sz w:val="18"/>
                <w:szCs w:val="18"/>
              </w:rPr>
              <w:t>,228</w:t>
            </w:r>
          </w:p>
        </w:tc>
        <w:tc>
          <w:tcPr>
            <w:tcW w:w="850" w:type="dxa"/>
            <w:shd w:val="clear" w:color="auto" w:fill="auto"/>
            <w:vAlign w:val="center"/>
          </w:tcPr>
          <w:p w14:paraId="734645D5" w14:textId="77777777" w:rsidR="004351BC" w:rsidRPr="004351BC" w:rsidRDefault="004351BC" w:rsidP="004351BC">
            <w:pPr>
              <w:spacing w:after="0" w:line="240" w:lineRule="auto"/>
              <w:ind w:right="50"/>
              <w:jc w:val="center"/>
              <w:rPr>
                <w:rFonts w:ascii="EB Garamond" w:eastAsia="EB Garamond" w:hAnsi="EB Garamond" w:cs="EB Garamond"/>
                <w:sz w:val="18"/>
                <w:szCs w:val="18"/>
              </w:rPr>
            </w:pPr>
            <w:r w:rsidRPr="004351BC">
              <w:rPr>
                <w:rFonts w:ascii="EB Garamond" w:eastAsia="EB Garamond" w:hAnsi="EB Garamond" w:cs="EB Garamond"/>
                <w:sz w:val="18"/>
                <w:szCs w:val="18"/>
              </w:rPr>
              <w:t>2,337</w:t>
            </w:r>
          </w:p>
        </w:tc>
      </w:tr>
      <w:tr w:rsidR="004351BC" w:rsidRPr="004351BC" w14:paraId="2DF3A2A4" w14:textId="77777777" w:rsidTr="00F40135">
        <w:tc>
          <w:tcPr>
            <w:tcW w:w="424" w:type="dxa"/>
            <w:vMerge/>
            <w:shd w:val="clear" w:color="auto" w:fill="auto"/>
            <w:vAlign w:val="center"/>
          </w:tcPr>
          <w:p w14:paraId="455BC211" w14:textId="77777777" w:rsidR="004351BC" w:rsidRPr="004351BC" w:rsidRDefault="004351BC" w:rsidP="004351BC">
            <w:pPr>
              <w:spacing w:after="0" w:line="240" w:lineRule="auto"/>
              <w:jc w:val="center"/>
              <w:rPr>
                <w:rFonts w:ascii="EB Garamond" w:eastAsia="EB Garamond" w:hAnsi="EB Garamond" w:cs="EB Garamond"/>
                <w:sz w:val="18"/>
                <w:szCs w:val="18"/>
              </w:rPr>
            </w:pPr>
          </w:p>
        </w:tc>
        <w:tc>
          <w:tcPr>
            <w:tcW w:w="3120" w:type="dxa"/>
            <w:shd w:val="clear" w:color="auto" w:fill="auto"/>
            <w:vAlign w:val="center"/>
          </w:tcPr>
          <w:p w14:paraId="6C30DAFE" w14:textId="77777777" w:rsidR="004351BC" w:rsidRPr="004351BC" w:rsidRDefault="004351BC" w:rsidP="004351BC">
            <w:pPr>
              <w:spacing w:after="0" w:line="240" w:lineRule="auto"/>
              <w:jc w:val="center"/>
              <w:rPr>
                <w:rFonts w:ascii="EB Garamond" w:eastAsia="EB Garamond" w:hAnsi="EB Garamond" w:cs="EB Garamond"/>
                <w:sz w:val="18"/>
                <w:szCs w:val="18"/>
              </w:rPr>
            </w:pPr>
            <w:r w:rsidRPr="004351BC">
              <w:rPr>
                <w:rFonts w:ascii="EB Garamond" w:eastAsia="EB Garamond" w:hAnsi="EB Garamond" w:cs="EB Garamond"/>
                <w:sz w:val="18"/>
                <w:szCs w:val="18"/>
              </w:rPr>
              <w:t>Guarantee</w:t>
            </w:r>
          </w:p>
        </w:tc>
        <w:tc>
          <w:tcPr>
            <w:tcW w:w="1559" w:type="dxa"/>
            <w:shd w:val="clear" w:color="auto" w:fill="auto"/>
            <w:vAlign w:val="center"/>
          </w:tcPr>
          <w:p w14:paraId="294E33CB" w14:textId="77777777" w:rsidR="004351BC" w:rsidRPr="004351BC" w:rsidRDefault="004351BC" w:rsidP="004351BC">
            <w:pPr>
              <w:spacing w:after="0" w:line="240" w:lineRule="auto"/>
              <w:jc w:val="center"/>
              <w:rPr>
                <w:rFonts w:ascii="EB Garamond" w:eastAsia="EB Garamond" w:hAnsi="EB Garamond" w:cs="EB Garamond"/>
                <w:sz w:val="18"/>
                <w:szCs w:val="18"/>
              </w:rPr>
            </w:pPr>
            <w:r w:rsidRPr="004351BC">
              <w:rPr>
                <w:rFonts w:ascii="EB Garamond" w:eastAsia="EB Garamond" w:hAnsi="EB Garamond" w:cs="EB Garamond"/>
                <w:sz w:val="18"/>
                <w:szCs w:val="18"/>
              </w:rPr>
              <w:t>, 192</w:t>
            </w:r>
          </w:p>
        </w:tc>
        <w:tc>
          <w:tcPr>
            <w:tcW w:w="1276" w:type="dxa"/>
            <w:shd w:val="clear" w:color="auto" w:fill="auto"/>
            <w:vAlign w:val="center"/>
          </w:tcPr>
          <w:p w14:paraId="3825AD6A" w14:textId="77777777" w:rsidR="004351BC" w:rsidRPr="004351BC" w:rsidRDefault="004351BC" w:rsidP="004351BC">
            <w:pPr>
              <w:spacing w:after="0" w:line="240" w:lineRule="auto"/>
              <w:ind w:right="49"/>
              <w:jc w:val="center"/>
              <w:rPr>
                <w:rFonts w:ascii="EB Garamond" w:eastAsia="EB Garamond" w:hAnsi="EB Garamond" w:cs="EB Garamond"/>
                <w:sz w:val="18"/>
                <w:szCs w:val="18"/>
              </w:rPr>
            </w:pPr>
            <w:r w:rsidRPr="004351BC">
              <w:rPr>
                <w:rFonts w:ascii="EB Garamond" w:eastAsia="EB Garamond" w:hAnsi="EB Garamond" w:cs="EB Garamond"/>
                <w:sz w:val="18"/>
                <w:szCs w:val="18"/>
              </w:rPr>
              <w:t>.096</w:t>
            </w:r>
          </w:p>
        </w:tc>
        <w:tc>
          <w:tcPr>
            <w:tcW w:w="567" w:type="dxa"/>
            <w:shd w:val="clear" w:color="auto" w:fill="auto"/>
            <w:vAlign w:val="center"/>
          </w:tcPr>
          <w:p w14:paraId="187A9DF7" w14:textId="77777777" w:rsidR="004351BC" w:rsidRPr="004351BC" w:rsidRDefault="004351BC" w:rsidP="004351BC">
            <w:pPr>
              <w:spacing w:after="0" w:line="240" w:lineRule="auto"/>
              <w:ind w:right="49"/>
              <w:jc w:val="center"/>
              <w:rPr>
                <w:rFonts w:ascii="EB Garamond" w:eastAsia="EB Garamond" w:hAnsi="EB Garamond" w:cs="EB Garamond"/>
                <w:sz w:val="18"/>
                <w:szCs w:val="18"/>
              </w:rPr>
            </w:pPr>
            <w:r w:rsidRPr="004351BC">
              <w:rPr>
                <w:rFonts w:ascii="EB Garamond" w:eastAsia="EB Garamond" w:hAnsi="EB Garamond" w:cs="EB Garamond"/>
                <w:sz w:val="18"/>
                <w:szCs w:val="18"/>
              </w:rPr>
              <w:t>,225</w:t>
            </w:r>
          </w:p>
        </w:tc>
        <w:tc>
          <w:tcPr>
            <w:tcW w:w="850" w:type="dxa"/>
            <w:shd w:val="clear" w:color="auto" w:fill="auto"/>
            <w:vAlign w:val="center"/>
          </w:tcPr>
          <w:p w14:paraId="330ADA22" w14:textId="77777777" w:rsidR="004351BC" w:rsidRPr="004351BC" w:rsidRDefault="004351BC" w:rsidP="004351BC">
            <w:pPr>
              <w:spacing w:after="0" w:line="240" w:lineRule="auto"/>
              <w:ind w:right="50"/>
              <w:jc w:val="center"/>
              <w:rPr>
                <w:rFonts w:ascii="EB Garamond" w:eastAsia="EB Garamond" w:hAnsi="EB Garamond" w:cs="EB Garamond"/>
                <w:sz w:val="18"/>
                <w:szCs w:val="18"/>
              </w:rPr>
            </w:pPr>
            <w:r w:rsidRPr="004351BC">
              <w:rPr>
                <w:rFonts w:ascii="EB Garamond" w:eastAsia="EB Garamond" w:hAnsi="EB Garamond" w:cs="EB Garamond"/>
                <w:sz w:val="18"/>
                <w:szCs w:val="18"/>
              </w:rPr>
              <w:t>1,999</w:t>
            </w:r>
          </w:p>
        </w:tc>
      </w:tr>
      <w:tr w:rsidR="004351BC" w:rsidRPr="004351BC" w14:paraId="6A40F017" w14:textId="77777777" w:rsidTr="00F40135">
        <w:tc>
          <w:tcPr>
            <w:tcW w:w="424" w:type="dxa"/>
            <w:vMerge/>
            <w:shd w:val="clear" w:color="auto" w:fill="auto"/>
            <w:vAlign w:val="center"/>
          </w:tcPr>
          <w:p w14:paraId="76B33FB2" w14:textId="77777777" w:rsidR="004351BC" w:rsidRPr="004351BC" w:rsidRDefault="004351BC" w:rsidP="004351BC">
            <w:pPr>
              <w:spacing w:after="0" w:line="240" w:lineRule="auto"/>
              <w:jc w:val="center"/>
              <w:rPr>
                <w:rFonts w:ascii="EB Garamond" w:eastAsia="EB Garamond" w:hAnsi="EB Garamond" w:cs="EB Garamond"/>
                <w:sz w:val="18"/>
                <w:szCs w:val="18"/>
              </w:rPr>
            </w:pPr>
          </w:p>
        </w:tc>
        <w:tc>
          <w:tcPr>
            <w:tcW w:w="3120" w:type="dxa"/>
            <w:shd w:val="clear" w:color="auto" w:fill="auto"/>
            <w:vAlign w:val="center"/>
          </w:tcPr>
          <w:p w14:paraId="559F92DD" w14:textId="77777777" w:rsidR="004351BC" w:rsidRPr="004351BC" w:rsidRDefault="004351BC" w:rsidP="004351BC">
            <w:pPr>
              <w:spacing w:after="0" w:line="240" w:lineRule="auto"/>
              <w:jc w:val="center"/>
              <w:rPr>
                <w:rFonts w:ascii="EB Garamond" w:eastAsia="EB Garamond" w:hAnsi="EB Garamond" w:cs="EB Garamond"/>
                <w:sz w:val="18"/>
                <w:szCs w:val="18"/>
              </w:rPr>
            </w:pPr>
            <w:r w:rsidRPr="004351BC">
              <w:rPr>
                <w:rFonts w:ascii="EB Garamond" w:eastAsia="EB Garamond" w:hAnsi="EB Garamond" w:cs="EB Garamond"/>
                <w:sz w:val="18"/>
                <w:szCs w:val="18"/>
              </w:rPr>
              <w:t>Level Ethnic group Flower</w:t>
            </w:r>
          </w:p>
        </w:tc>
        <w:tc>
          <w:tcPr>
            <w:tcW w:w="1559" w:type="dxa"/>
            <w:shd w:val="clear" w:color="auto" w:fill="auto"/>
            <w:vAlign w:val="center"/>
          </w:tcPr>
          <w:p w14:paraId="65D20438" w14:textId="77777777" w:rsidR="004351BC" w:rsidRPr="004351BC" w:rsidRDefault="004351BC" w:rsidP="004351BC">
            <w:pPr>
              <w:spacing w:after="0" w:line="240" w:lineRule="auto"/>
              <w:jc w:val="center"/>
              <w:rPr>
                <w:rFonts w:ascii="EB Garamond" w:eastAsia="EB Garamond" w:hAnsi="EB Garamond" w:cs="EB Garamond"/>
                <w:sz w:val="18"/>
                <w:szCs w:val="18"/>
              </w:rPr>
            </w:pPr>
            <w:r w:rsidRPr="004351BC">
              <w:rPr>
                <w:rFonts w:ascii="EB Garamond" w:eastAsia="EB Garamond" w:hAnsi="EB Garamond" w:cs="EB Garamond"/>
                <w:sz w:val="18"/>
                <w:szCs w:val="18"/>
              </w:rPr>
              <w:t>,390</w:t>
            </w:r>
          </w:p>
        </w:tc>
        <w:tc>
          <w:tcPr>
            <w:tcW w:w="1276" w:type="dxa"/>
            <w:shd w:val="clear" w:color="auto" w:fill="auto"/>
            <w:vAlign w:val="center"/>
          </w:tcPr>
          <w:p w14:paraId="44F8D3AD" w14:textId="77777777" w:rsidR="004351BC" w:rsidRPr="004351BC" w:rsidRDefault="004351BC" w:rsidP="004351BC">
            <w:pPr>
              <w:spacing w:after="0" w:line="240" w:lineRule="auto"/>
              <w:ind w:right="49"/>
              <w:jc w:val="center"/>
              <w:rPr>
                <w:rFonts w:ascii="EB Garamond" w:eastAsia="EB Garamond" w:hAnsi="EB Garamond" w:cs="EB Garamond"/>
                <w:sz w:val="18"/>
                <w:szCs w:val="18"/>
              </w:rPr>
            </w:pPr>
            <w:r w:rsidRPr="004351BC">
              <w:rPr>
                <w:rFonts w:ascii="EB Garamond" w:eastAsia="EB Garamond" w:hAnsi="EB Garamond" w:cs="EB Garamond"/>
                <w:sz w:val="18"/>
                <w:szCs w:val="18"/>
              </w:rPr>
              <w:t>,107</w:t>
            </w:r>
          </w:p>
        </w:tc>
        <w:tc>
          <w:tcPr>
            <w:tcW w:w="567" w:type="dxa"/>
            <w:shd w:val="clear" w:color="auto" w:fill="auto"/>
            <w:vAlign w:val="center"/>
          </w:tcPr>
          <w:p w14:paraId="18DD6CF1" w14:textId="77777777" w:rsidR="004351BC" w:rsidRPr="004351BC" w:rsidRDefault="004351BC" w:rsidP="004351BC">
            <w:pPr>
              <w:spacing w:after="0" w:line="240" w:lineRule="auto"/>
              <w:ind w:right="49"/>
              <w:jc w:val="center"/>
              <w:rPr>
                <w:rFonts w:ascii="EB Garamond" w:eastAsia="EB Garamond" w:hAnsi="EB Garamond" w:cs="EB Garamond"/>
                <w:sz w:val="18"/>
                <w:szCs w:val="18"/>
              </w:rPr>
            </w:pPr>
            <w:r w:rsidRPr="004351BC">
              <w:rPr>
                <w:rFonts w:ascii="EB Garamond" w:eastAsia="EB Garamond" w:hAnsi="EB Garamond" w:cs="EB Garamond"/>
                <w:sz w:val="18"/>
                <w:szCs w:val="18"/>
              </w:rPr>
              <w:t>,383</w:t>
            </w:r>
          </w:p>
        </w:tc>
        <w:tc>
          <w:tcPr>
            <w:tcW w:w="850" w:type="dxa"/>
            <w:shd w:val="clear" w:color="auto" w:fill="auto"/>
            <w:vAlign w:val="center"/>
          </w:tcPr>
          <w:p w14:paraId="01A90BE8" w14:textId="77777777" w:rsidR="004351BC" w:rsidRPr="004351BC" w:rsidRDefault="004351BC" w:rsidP="004351BC">
            <w:pPr>
              <w:spacing w:after="0" w:line="240" w:lineRule="auto"/>
              <w:ind w:right="50"/>
              <w:jc w:val="center"/>
              <w:rPr>
                <w:rFonts w:ascii="EB Garamond" w:eastAsia="EB Garamond" w:hAnsi="EB Garamond" w:cs="EB Garamond"/>
                <w:sz w:val="18"/>
                <w:szCs w:val="18"/>
              </w:rPr>
            </w:pPr>
            <w:r w:rsidRPr="004351BC">
              <w:rPr>
                <w:rFonts w:ascii="EB Garamond" w:eastAsia="EB Garamond" w:hAnsi="EB Garamond" w:cs="EB Garamond"/>
                <w:sz w:val="18"/>
                <w:szCs w:val="18"/>
              </w:rPr>
              <w:t>3,648</w:t>
            </w:r>
          </w:p>
        </w:tc>
      </w:tr>
    </w:tbl>
    <w:p w14:paraId="0E646D6A" w14:textId="77777777" w:rsidR="009B6760" w:rsidRPr="009B6760" w:rsidRDefault="009B6760" w:rsidP="009B6760">
      <w:pPr>
        <w:pBdr>
          <w:top w:val="nil"/>
          <w:left w:val="nil"/>
          <w:bottom w:val="nil"/>
          <w:right w:val="nil"/>
          <w:between w:val="nil"/>
        </w:pBdr>
        <w:spacing w:after="0" w:line="240" w:lineRule="auto"/>
        <w:ind w:left="1276" w:firstLine="284"/>
        <w:rPr>
          <w:rFonts w:ascii="EB Garamond" w:eastAsia="EB Garamond" w:hAnsi="EB Garamond" w:cs="EB Garamond"/>
          <w:b/>
          <w:bCs/>
          <w:color w:val="000000"/>
          <w:sz w:val="20"/>
          <w:szCs w:val="20"/>
        </w:rPr>
      </w:pPr>
    </w:p>
    <w:p w14:paraId="67111CAC"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Dependent Variable: Credit Decision Source: processed data, 2022</w:t>
      </w:r>
    </w:p>
    <w:p w14:paraId="1685E67A"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29E790B1"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Judging from the SPSS table above, the regression equation can be determined as follows:</w:t>
      </w:r>
    </w:p>
    <w:p w14:paraId="33A69CE2"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Y = a + b1x1 + b2x2 + b3x3</w:t>
      </w:r>
    </w:p>
    <w:p w14:paraId="19DD67FD"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Y =0.057 + 0.120x1 + 0.192x2 + 0.390x3</w:t>
      </w:r>
    </w:p>
    <w:p w14:paraId="5DEB1F3D"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From this equation the coefficient numbers show results that can be explained as follows:</w:t>
      </w:r>
    </w:p>
    <w:p w14:paraId="201A4832" w14:textId="6837E533" w:rsidR="009B6760" w:rsidRPr="009B6760" w:rsidRDefault="009B6760" w:rsidP="009B6760">
      <w:pPr>
        <w:pBdr>
          <w:top w:val="nil"/>
          <w:left w:val="nil"/>
          <w:bottom w:val="nil"/>
          <w:right w:val="nil"/>
          <w:between w:val="nil"/>
        </w:pBdr>
        <w:spacing w:after="0" w:line="240" w:lineRule="auto"/>
        <w:ind w:left="2160" w:hanging="600"/>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1.</w:t>
      </w:r>
      <w:r w:rsidRPr="009B6760">
        <w:rPr>
          <w:rFonts w:ascii="EB Garamond" w:eastAsia="EB Garamond" w:hAnsi="EB Garamond" w:cs="EB Garamond"/>
          <w:color w:val="000000"/>
          <w:sz w:val="20"/>
          <w:szCs w:val="20"/>
        </w:rPr>
        <w:tab/>
        <w:t>A constant of 0.057; means that if the independent variables are considered constant, namely assets (X1), credit guarantees (X2) and interest rates (X3), then the credit decision value (Y) is 0.057.</w:t>
      </w:r>
    </w:p>
    <w:p w14:paraId="2B506242" w14:textId="5414D816" w:rsidR="009B6760" w:rsidRPr="009B6760" w:rsidRDefault="009B6760" w:rsidP="009B6760">
      <w:pPr>
        <w:pBdr>
          <w:top w:val="nil"/>
          <w:left w:val="nil"/>
          <w:bottom w:val="nil"/>
          <w:right w:val="nil"/>
          <w:between w:val="nil"/>
        </w:pBdr>
        <w:spacing w:after="0" w:line="240" w:lineRule="auto"/>
        <w:ind w:left="2160" w:hanging="600"/>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2.</w:t>
      </w:r>
      <w:r w:rsidRPr="009B6760">
        <w:rPr>
          <w:rFonts w:ascii="EB Garamond" w:eastAsia="EB Garamond" w:hAnsi="EB Garamond" w:cs="EB Garamond"/>
          <w:color w:val="000000"/>
          <w:sz w:val="20"/>
          <w:szCs w:val="20"/>
        </w:rPr>
        <w:tab/>
        <w:t>The regression coefficient of the X1 variable is 0.120, which means that increasing the X1 variable will increase the Y variable by 0.120.</w:t>
      </w:r>
    </w:p>
    <w:p w14:paraId="45D64B61" w14:textId="39FA5828" w:rsidR="009B6760" w:rsidRPr="009B6760" w:rsidRDefault="009B6760" w:rsidP="009B6760">
      <w:pPr>
        <w:pBdr>
          <w:top w:val="nil"/>
          <w:left w:val="nil"/>
          <w:bottom w:val="nil"/>
          <w:right w:val="nil"/>
          <w:between w:val="nil"/>
        </w:pBdr>
        <w:spacing w:after="0" w:line="240" w:lineRule="auto"/>
        <w:ind w:left="2160" w:hanging="600"/>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3.</w:t>
      </w:r>
      <w:r w:rsidRPr="009B6760">
        <w:rPr>
          <w:rFonts w:ascii="EB Garamond" w:eastAsia="EB Garamond" w:hAnsi="EB Garamond" w:cs="EB Garamond"/>
          <w:color w:val="000000"/>
          <w:sz w:val="20"/>
          <w:szCs w:val="20"/>
        </w:rPr>
        <w:tab/>
        <w:t>The regression coefficient of the X2 variable is 0.192, which means that increasing the X2 variable will increase the Y variable by 0.192.</w:t>
      </w:r>
    </w:p>
    <w:p w14:paraId="49169411" w14:textId="3EB2B0DD" w:rsidR="009B6760" w:rsidRPr="009B6760" w:rsidRDefault="009B6760" w:rsidP="009B6760">
      <w:pPr>
        <w:pBdr>
          <w:top w:val="nil"/>
          <w:left w:val="nil"/>
          <w:bottom w:val="nil"/>
          <w:right w:val="nil"/>
          <w:between w:val="nil"/>
        </w:pBdr>
        <w:spacing w:after="0" w:line="240" w:lineRule="auto"/>
        <w:ind w:left="2160" w:hanging="600"/>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4.</w:t>
      </w:r>
      <w:r w:rsidRPr="009B6760">
        <w:rPr>
          <w:rFonts w:ascii="EB Garamond" w:eastAsia="EB Garamond" w:hAnsi="EB Garamond" w:cs="EB Garamond"/>
          <w:color w:val="000000"/>
          <w:sz w:val="20"/>
          <w:szCs w:val="20"/>
        </w:rPr>
        <w:tab/>
        <w:t>The regression coefficient of the X3 variable is 0.390, meaning: that increasing the X3 variable will increase the Y variable by 0.390.</w:t>
      </w:r>
    </w:p>
    <w:p w14:paraId="023B2320" w14:textId="0827D3FC"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Pr>
          <w:rFonts w:ascii="EB Garamond" w:eastAsia="EB Garamond" w:hAnsi="EB Garamond" w:cs="EB Garamond"/>
          <w:color w:val="000000"/>
          <w:sz w:val="20"/>
          <w:szCs w:val="20"/>
        </w:rPr>
        <w:tab/>
      </w:r>
    </w:p>
    <w:p w14:paraId="31BF3906"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Hypothesis test</w:t>
      </w:r>
    </w:p>
    <w:p w14:paraId="0FFB7014" w14:textId="05333D3F" w:rsidR="009B6760" w:rsidRPr="00C556A4"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i/>
          <w:iCs/>
          <w:color w:val="000000"/>
          <w:sz w:val="20"/>
          <w:szCs w:val="20"/>
        </w:rPr>
      </w:pPr>
      <w:r w:rsidRPr="00C556A4">
        <w:rPr>
          <w:rFonts w:ascii="EB Garamond" w:eastAsia="EB Garamond" w:hAnsi="EB Garamond" w:cs="EB Garamond"/>
          <w:i/>
          <w:iCs/>
          <w:color w:val="000000"/>
          <w:sz w:val="20"/>
          <w:szCs w:val="20"/>
        </w:rPr>
        <w:t>t</w:t>
      </w:r>
      <w:r w:rsidR="00C556A4" w:rsidRPr="00C556A4">
        <w:rPr>
          <w:rFonts w:ascii="EB Garamond" w:eastAsia="EB Garamond" w:hAnsi="EB Garamond" w:cs="EB Garamond"/>
          <w:i/>
          <w:iCs/>
          <w:color w:val="000000"/>
          <w:sz w:val="20"/>
          <w:szCs w:val="20"/>
        </w:rPr>
        <w:t>-</w:t>
      </w:r>
      <w:r w:rsidRPr="00C556A4">
        <w:rPr>
          <w:rFonts w:ascii="EB Garamond" w:eastAsia="EB Garamond" w:hAnsi="EB Garamond" w:cs="EB Garamond"/>
          <w:i/>
          <w:iCs/>
          <w:color w:val="000000"/>
          <w:sz w:val="20"/>
          <w:szCs w:val="20"/>
        </w:rPr>
        <w:t>test</w:t>
      </w:r>
    </w:p>
    <w:p w14:paraId="3C077207" w14:textId="5F5FB91F" w:rsidR="009B6760" w:rsidRDefault="009B6760" w:rsidP="009B6760">
      <w:pPr>
        <w:pBdr>
          <w:top w:val="nil"/>
          <w:left w:val="nil"/>
          <w:bottom w:val="nil"/>
          <w:right w:val="nil"/>
          <w:between w:val="nil"/>
        </w:pBdr>
        <w:spacing w:after="0" w:line="240" w:lineRule="auto"/>
        <w:ind w:left="1440" w:firstLine="120"/>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The t test is used to determine the effect of each independent variable on the dependent variable. The t test is done by comparing t count with t table. To determine the value of t table is determined with a significance level of 5% with degrees of freedom df = (nk-1) where n is the number of respondents and k is the number of independent variables. The test criteria used are: If t count &gt; t table (α /</w:t>
      </w:r>
      <w:proofErr w:type="gramStart"/>
      <w:r w:rsidRPr="009B6760">
        <w:rPr>
          <w:rFonts w:ascii="EB Garamond" w:eastAsia="EB Garamond" w:hAnsi="EB Garamond" w:cs="EB Garamond"/>
          <w:color w:val="000000"/>
          <w:sz w:val="20"/>
          <w:szCs w:val="20"/>
        </w:rPr>
        <w:t>2 ;</w:t>
      </w:r>
      <w:proofErr w:type="gramEnd"/>
      <w:r w:rsidRPr="009B6760">
        <w:rPr>
          <w:rFonts w:ascii="EB Garamond" w:eastAsia="EB Garamond" w:hAnsi="EB Garamond" w:cs="EB Garamond"/>
          <w:color w:val="000000"/>
          <w:sz w:val="20"/>
          <w:szCs w:val="20"/>
        </w:rPr>
        <w:t xml:space="preserve"> nk-1) then H1 is accepted If tcount &lt; t table (α /2 ; nk-1) then H1 is rejected. In addition, the t test can also be seen from the magnitude of the probability value (p value) compared to 0.05 (significance level α = 5%). The test criteria used are: If the p value &lt;0.05 then H1 is accepted If the p value is &gt; 0.05 then H1 is rejected</w:t>
      </w:r>
      <w:r w:rsidR="00C556A4">
        <w:rPr>
          <w:rFonts w:ascii="EB Garamond" w:eastAsia="EB Garamond" w:hAnsi="EB Garamond" w:cs="EB Garamond"/>
          <w:color w:val="000000"/>
          <w:sz w:val="20"/>
          <w:szCs w:val="20"/>
        </w:rPr>
        <w:t>.</w:t>
      </w:r>
    </w:p>
    <w:p w14:paraId="23052171" w14:textId="77777777" w:rsidR="00C556A4" w:rsidRDefault="00C556A4" w:rsidP="009B6760">
      <w:pPr>
        <w:pBdr>
          <w:top w:val="nil"/>
          <w:left w:val="nil"/>
          <w:bottom w:val="nil"/>
          <w:right w:val="nil"/>
          <w:between w:val="nil"/>
        </w:pBdr>
        <w:spacing w:after="0" w:line="240" w:lineRule="auto"/>
        <w:ind w:left="1440" w:firstLine="120"/>
        <w:jc w:val="both"/>
        <w:rPr>
          <w:rFonts w:ascii="EB Garamond" w:eastAsia="EB Garamond" w:hAnsi="EB Garamond" w:cs="EB Garamond"/>
          <w:color w:val="000000"/>
          <w:sz w:val="20"/>
          <w:szCs w:val="20"/>
        </w:rPr>
      </w:pPr>
    </w:p>
    <w:p w14:paraId="42C7CA8B" w14:textId="77777777" w:rsidR="00C556A4" w:rsidRPr="009B6760" w:rsidRDefault="00C556A4" w:rsidP="009B6760">
      <w:pPr>
        <w:pBdr>
          <w:top w:val="nil"/>
          <w:left w:val="nil"/>
          <w:bottom w:val="nil"/>
          <w:right w:val="nil"/>
          <w:between w:val="nil"/>
        </w:pBdr>
        <w:spacing w:after="0" w:line="240" w:lineRule="auto"/>
        <w:ind w:left="1440" w:firstLine="120"/>
        <w:jc w:val="both"/>
        <w:rPr>
          <w:rFonts w:ascii="EB Garamond" w:eastAsia="EB Garamond" w:hAnsi="EB Garamond" w:cs="EB Garamond"/>
          <w:color w:val="000000"/>
          <w:sz w:val="20"/>
          <w:szCs w:val="20"/>
        </w:rPr>
      </w:pPr>
    </w:p>
    <w:p w14:paraId="04AE4A51" w14:textId="77777777" w:rsidR="009B6760" w:rsidRPr="009B6760" w:rsidRDefault="009B6760" w:rsidP="009B6760">
      <w:pPr>
        <w:pBdr>
          <w:top w:val="nil"/>
          <w:left w:val="nil"/>
          <w:bottom w:val="nil"/>
          <w:right w:val="nil"/>
          <w:between w:val="nil"/>
        </w:pBdr>
        <w:spacing w:after="0" w:line="240" w:lineRule="auto"/>
        <w:ind w:left="556" w:firstLine="720"/>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lastRenderedPageBreak/>
        <w:t>a.</w:t>
      </w:r>
      <w:r w:rsidRPr="009B6760">
        <w:rPr>
          <w:rFonts w:ascii="EB Garamond" w:eastAsia="EB Garamond" w:hAnsi="EB Garamond" w:cs="EB Garamond"/>
          <w:color w:val="000000"/>
          <w:sz w:val="20"/>
          <w:szCs w:val="20"/>
        </w:rPr>
        <w:tab/>
        <w:t>First Hypothesis Testing</w:t>
      </w:r>
    </w:p>
    <w:p w14:paraId="2D65BBC0"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Cambria Math" w:eastAsia="EB Garamond" w:hAnsi="Cambria Math" w:cs="Cambria Math"/>
          <w:color w:val="000000"/>
          <w:sz w:val="20"/>
          <w:szCs w:val="20"/>
        </w:rPr>
        <w:t>𝐻𝑂</w:t>
      </w:r>
      <w:r w:rsidRPr="009B6760">
        <w:rPr>
          <w:rFonts w:ascii="EB Garamond" w:eastAsia="EB Garamond" w:hAnsi="EB Garamond" w:cs="EB Garamond"/>
          <w:color w:val="000000"/>
          <w:sz w:val="20"/>
          <w:szCs w:val="20"/>
        </w:rPr>
        <w:t>= Assets have no positive and significant effect on Customer Credit Decisions at Bank SULSELBAR Majene Branch</w:t>
      </w:r>
    </w:p>
    <w:p w14:paraId="32E082AD"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Cambria Math" w:eastAsia="EB Garamond" w:hAnsi="Cambria Math" w:cs="Cambria Math"/>
          <w:color w:val="000000"/>
          <w:sz w:val="20"/>
          <w:szCs w:val="20"/>
        </w:rPr>
        <w:t>𝐻</w:t>
      </w:r>
      <w:r w:rsidRPr="009B6760">
        <w:rPr>
          <w:rFonts w:ascii="EB Garamond" w:eastAsia="EB Garamond" w:hAnsi="EB Garamond" w:cs="EB Garamond"/>
          <w:color w:val="000000"/>
          <w:sz w:val="20"/>
          <w:szCs w:val="20"/>
        </w:rPr>
        <w:t>1 = Assets have a positive and significant effect on Customer Credit Decisions at Bank SULSELBAR Majene Branch</w:t>
      </w:r>
    </w:p>
    <w:p w14:paraId="6A01FD16"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 xml:space="preserve">The results of the t test can be seen in table 6 above, where the t value of the asset variable (X1) is 2.337 while the t table value with df = α / </w:t>
      </w:r>
      <w:proofErr w:type="gramStart"/>
      <w:r w:rsidRPr="009B6760">
        <w:rPr>
          <w:rFonts w:ascii="EB Garamond" w:eastAsia="EB Garamond" w:hAnsi="EB Garamond" w:cs="EB Garamond"/>
          <w:color w:val="000000"/>
          <w:sz w:val="20"/>
          <w:szCs w:val="20"/>
        </w:rPr>
        <w:t>2 ;</w:t>
      </w:r>
      <w:proofErr w:type="gramEnd"/>
      <w:r w:rsidRPr="009B6760">
        <w:rPr>
          <w:rFonts w:ascii="EB Garamond" w:eastAsia="EB Garamond" w:hAnsi="EB Garamond" w:cs="EB Garamond"/>
          <w:color w:val="000000"/>
          <w:sz w:val="20"/>
          <w:szCs w:val="20"/>
        </w:rPr>
        <w:t xml:space="preserve"> nk-1 (0.025; 100-3-1 = 96 ), then the t table value is 1.984. Because the calculated t value is greater than the t table, namely 2.337&gt; 1.984, then H1 is accepted. In addition, it is reinforced by a p value that is smaller than the significance level, namely 0.021 &lt;0.05. So, it can be concluded that partially assets have a positive and significant effect on customer credit decisions.</w:t>
      </w:r>
    </w:p>
    <w:p w14:paraId="695737D1" w14:textId="77777777" w:rsidR="009B6760" w:rsidRPr="009B6760" w:rsidRDefault="009B6760" w:rsidP="009B6760">
      <w:pPr>
        <w:pBdr>
          <w:top w:val="nil"/>
          <w:left w:val="nil"/>
          <w:bottom w:val="nil"/>
          <w:right w:val="nil"/>
          <w:between w:val="nil"/>
        </w:pBdr>
        <w:spacing w:after="0" w:line="240" w:lineRule="auto"/>
        <w:ind w:left="556" w:firstLine="720"/>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b.</w:t>
      </w:r>
      <w:r w:rsidRPr="009B6760">
        <w:rPr>
          <w:rFonts w:ascii="EB Garamond" w:eastAsia="EB Garamond" w:hAnsi="EB Garamond" w:cs="EB Garamond"/>
          <w:color w:val="000000"/>
          <w:sz w:val="20"/>
          <w:szCs w:val="20"/>
        </w:rPr>
        <w:tab/>
        <w:t>Second Hypothesis Testing</w:t>
      </w:r>
    </w:p>
    <w:p w14:paraId="52052C4F"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Cambria Math" w:eastAsia="EB Garamond" w:hAnsi="Cambria Math" w:cs="Cambria Math"/>
          <w:color w:val="000000"/>
          <w:sz w:val="20"/>
          <w:szCs w:val="20"/>
        </w:rPr>
        <w:t>𝐻𝑂</w:t>
      </w:r>
      <w:r w:rsidRPr="009B6760">
        <w:rPr>
          <w:rFonts w:ascii="EB Garamond" w:eastAsia="EB Garamond" w:hAnsi="EB Garamond" w:cs="EB Garamond"/>
          <w:color w:val="000000"/>
          <w:sz w:val="20"/>
          <w:szCs w:val="20"/>
        </w:rPr>
        <w:t>= Credit Guarantee partially has no positive and significant effect on Customer Credit decisions at Bank SULSELBAR Majene Branch</w:t>
      </w:r>
    </w:p>
    <w:p w14:paraId="2B81B54E"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Cambria Math" w:eastAsia="EB Garamond" w:hAnsi="Cambria Math" w:cs="Cambria Math"/>
          <w:color w:val="000000"/>
          <w:sz w:val="20"/>
          <w:szCs w:val="20"/>
        </w:rPr>
        <w:t>𝐻</w:t>
      </w:r>
      <w:r w:rsidRPr="009B6760">
        <w:rPr>
          <w:rFonts w:ascii="EB Garamond" w:eastAsia="EB Garamond" w:hAnsi="EB Garamond" w:cs="EB Garamond"/>
          <w:color w:val="000000"/>
          <w:sz w:val="20"/>
          <w:szCs w:val="20"/>
        </w:rPr>
        <w:t>2 = Credit Guarantee partially has a positive and significant effect on customer credit decisions at Bank SULSELBAR Majene Branch.</w:t>
      </w:r>
    </w:p>
    <w:p w14:paraId="2A154CAD"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The results of the t test can be seen in table 6 above, where the calculated t value of the Credit Guarantee variable (X2) is 1.999 while the t table value is 1.984. Because the calculated t value is greater than the t table, namely 1.999 &gt; 1.984, then H2 is accepted. In addition, it is reinforced by a p value that is smaller than the significance level, namely 0.048 &lt;0.05. So, it can be concluded that partially credit guarantees have a positive and significant effect on customer credit decisions.</w:t>
      </w:r>
    </w:p>
    <w:p w14:paraId="0E2B4C70" w14:textId="77777777" w:rsidR="009B6760" w:rsidRPr="009B6760" w:rsidRDefault="009B6760" w:rsidP="009B6760">
      <w:pPr>
        <w:pBdr>
          <w:top w:val="nil"/>
          <w:left w:val="nil"/>
          <w:bottom w:val="nil"/>
          <w:right w:val="nil"/>
          <w:between w:val="nil"/>
        </w:pBdr>
        <w:spacing w:after="0" w:line="240" w:lineRule="auto"/>
        <w:ind w:left="556" w:firstLine="720"/>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c.</w:t>
      </w:r>
      <w:r w:rsidRPr="009B6760">
        <w:rPr>
          <w:rFonts w:ascii="EB Garamond" w:eastAsia="EB Garamond" w:hAnsi="EB Garamond" w:cs="EB Garamond"/>
          <w:color w:val="000000"/>
          <w:sz w:val="20"/>
          <w:szCs w:val="20"/>
        </w:rPr>
        <w:tab/>
        <w:t>Third Hypothesis Testing</w:t>
      </w:r>
    </w:p>
    <w:p w14:paraId="2E201205"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Cambria Math" w:eastAsia="EB Garamond" w:hAnsi="Cambria Math" w:cs="Cambria Math"/>
          <w:color w:val="000000"/>
          <w:sz w:val="20"/>
          <w:szCs w:val="20"/>
        </w:rPr>
        <w:t>𝐻𝑂</w:t>
      </w:r>
      <w:r w:rsidRPr="009B6760">
        <w:rPr>
          <w:rFonts w:ascii="EB Garamond" w:eastAsia="EB Garamond" w:hAnsi="EB Garamond" w:cs="EB Garamond"/>
          <w:color w:val="000000"/>
          <w:sz w:val="20"/>
          <w:szCs w:val="20"/>
        </w:rPr>
        <w:t>= Interest rates partially have no positive and significant effect on customer credit decisions at Bank SULSELBAR Majene Branch</w:t>
      </w:r>
    </w:p>
    <w:p w14:paraId="1F601F89"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Cambria Math" w:eastAsia="EB Garamond" w:hAnsi="Cambria Math" w:cs="Cambria Math"/>
          <w:color w:val="000000"/>
          <w:sz w:val="20"/>
          <w:szCs w:val="20"/>
        </w:rPr>
        <w:t>𝐻</w:t>
      </w:r>
      <w:r w:rsidRPr="009B6760">
        <w:rPr>
          <w:rFonts w:ascii="EB Garamond" w:eastAsia="EB Garamond" w:hAnsi="EB Garamond" w:cs="EB Garamond"/>
          <w:color w:val="000000"/>
          <w:sz w:val="20"/>
          <w:szCs w:val="20"/>
        </w:rPr>
        <w:t>3 = Interest rates partially have a positive and significant effect on customer credit decisions at Bank SULSELBAR Majene Branch.</w:t>
      </w:r>
    </w:p>
    <w:p w14:paraId="45A69CD1"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The results of the t test can be seen in table 6 above, where the calculated t value of the interest rate variable (X3) is 3.648 while the t table value is 1.984. Because the calculated t value is greater than the t table, namely 3.648 &gt; 1.984, then H3 is accepted. In addition, it is reinforced by a p value that is smaller than the significance level, namely 0.000 &lt;0.05. So, it can be concluded that partially credit guarantees have a positive and significant effect on customer credit decisions.</w:t>
      </w:r>
    </w:p>
    <w:p w14:paraId="23DAD3CC"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1CFBF2BB" w14:textId="288AF168" w:rsidR="009B6760" w:rsidRPr="00385E8D" w:rsidRDefault="009B6760" w:rsidP="009B6760">
      <w:pPr>
        <w:pBdr>
          <w:top w:val="nil"/>
          <w:left w:val="nil"/>
          <w:bottom w:val="nil"/>
          <w:right w:val="nil"/>
          <w:between w:val="nil"/>
        </w:pBdr>
        <w:spacing w:after="0" w:line="240" w:lineRule="auto"/>
        <w:ind w:left="556" w:firstLine="720"/>
        <w:jc w:val="both"/>
        <w:rPr>
          <w:rFonts w:ascii="EB Garamond" w:eastAsia="EB Garamond" w:hAnsi="EB Garamond" w:cs="EB Garamond"/>
          <w:i/>
          <w:iCs/>
          <w:color w:val="000000"/>
          <w:sz w:val="20"/>
          <w:szCs w:val="20"/>
        </w:rPr>
      </w:pPr>
      <w:r w:rsidRPr="00385E8D">
        <w:rPr>
          <w:rFonts w:ascii="EB Garamond" w:eastAsia="EB Garamond" w:hAnsi="EB Garamond" w:cs="EB Garamond"/>
          <w:i/>
          <w:iCs/>
          <w:color w:val="000000"/>
          <w:sz w:val="20"/>
          <w:szCs w:val="20"/>
        </w:rPr>
        <w:t>F</w:t>
      </w:r>
      <w:r w:rsidR="00C556A4" w:rsidRPr="00385E8D">
        <w:rPr>
          <w:rFonts w:ascii="EB Garamond" w:eastAsia="EB Garamond" w:hAnsi="EB Garamond" w:cs="EB Garamond"/>
          <w:i/>
          <w:iCs/>
          <w:color w:val="000000"/>
          <w:sz w:val="20"/>
          <w:szCs w:val="20"/>
        </w:rPr>
        <w:t>-</w:t>
      </w:r>
      <w:r w:rsidRPr="00385E8D">
        <w:rPr>
          <w:rFonts w:ascii="EB Garamond" w:eastAsia="EB Garamond" w:hAnsi="EB Garamond" w:cs="EB Garamond"/>
          <w:i/>
          <w:iCs/>
          <w:color w:val="000000"/>
          <w:sz w:val="20"/>
          <w:szCs w:val="20"/>
        </w:rPr>
        <w:t>test</w:t>
      </w:r>
    </w:p>
    <w:p w14:paraId="089BBD90"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The F test is used to determine whether there is a simultaneous (simultaneous) effect of the independent (free) variables on the dependent (bound) variable. Proof is done by comparing the value of Fcount with Ftable at the 95% confidence level and degrees of freedom. The formula for determining df1 (N1) and df2 (N2) is:</w:t>
      </w:r>
    </w:p>
    <w:p w14:paraId="59C3F7AE" w14:textId="6586C74F"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Df1 = k-1</w:t>
      </w:r>
    </w:p>
    <w:p w14:paraId="4E01BB28" w14:textId="13F32B5B" w:rsidR="009B6760" w:rsidRPr="009B6760" w:rsidRDefault="006F513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Pr>
          <w:rFonts w:ascii="EB Garamond" w:eastAsia="EB Garamond" w:hAnsi="EB Garamond" w:cs="EB Garamond"/>
          <w:color w:val="000000"/>
          <w:sz w:val="20"/>
          <w:szCs w:val="20"/>
        </w:rPr>
        <w:t xml:space="preserve">         </w:t>
      </w:r>
      <w:r w:rsidR="009B6760" w:rsidRPr="009B6760">
        <w:rPr>
          <w:rFonts w:ascii="EB Garamond" w:eastAsia="EB Garamond" w:hAnsi="EB Garamond" w:cs="EB Garamond"/>
          <w:color w:val="000000"/>
          <w:sz w:val="20"/>
          <w:szCs w:val="20"/>
        </w:rPr>
        <w:t>= 4-1</w:t>
      </w:r>
    </w:p>
    <w:p w14:paraId="3375CB6B" w14:textId="597C6942" w:rsidR="009B6760" w:rsidRPr="009B6760" w:rsidRDefault="006F513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Pr>
          <w:rFonts w:ascii="EB Garamond" w:eastAsia="EB Garamond" w:hAnsi="EB Garamond" w:cs="EB Garamond"/>
          <w:color w:val="000000"/>
          <w:sz w:val="20"/>
          <w:szCs w:val="20"/>
        </w:rPr>
        <w:t xml:space="preserve">         </w:t>
      </w:r>
      <w:r w:rsidR="009B6760" w:rsidRPr="009B6760">
        <w:rPr>
          <w:rFonts w:ascii="EB Garamond" w:eastAsia="EB Garamond" w:hAnsi="EB Garamond" w:cs="EB Garamond"/>
          <w:color w:val="000000"/>
          <w:sz w:val="20"/>
          <w:szCs w:val="20"/>
        </w:rPr>
        <w:t>= 3</w:t>
      </w:r>
    </w:p>
    <w:p w14:paraId="49099233" w14:textId="14DEF63A"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Df2 = nk</w:t>
      </w:r>
    </w:p>
    <w:p w14:paraId="0F3A8F90" w14:textId="060273FD" w:rsidR="009B6760" w:rsidRPr="009B6760" w:rsidRDefault="006F513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Pr>
          <w:rFonts w:ascii="EB Garamond" w:eastAsia="EB Garamond" w:hAnsi="EB Garamond" w:cs="EB Garamond"/>
          <w:color w:val="000000"/>
          <w:sz w:val="20"/>
          <w:szCs w:val="20"/>
        </w:rPr>
        <w:t xml:space="preserve">         </w:t>
      </w:r>
      <w:r w:rsidR="009B6760" w:rsidRPr="009B6760">
        <w:rPr>
          <w:rFonts w:ascii="EB Garamond" w:eastAsia="EB Garamond" w:hAnsi="EB Garamond" w:cs="EB Garamond"/>
          <w:color w:val="000000"/>
          <w:sz w:val="20"/>
          <w:szCs w:val="20"/>
        </w:rPr>
        <w:t>= 100-3-1</w:t>
      </w:r>
    </w:p>
    <w:p w14:paraId="54A24367" w14:textId="0642566D" w:rsidR="009B6760" w:rsidRPr="009B6760" w:rsidRDefault="006F513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Pr>
          <w:rFonts w:ascii="EB Garamond" w:eastAsia="EB Garamond" w:hAnsi="EB Garamond" w:cs="EB Garamond"/>
          <w:color w:val="000000"/>
          <w:sz w:val="20"/>
          <w:szCs w:val="20"/>
        </w:rPr>
        <w:t xml:space="preserve">         </w:t>
      </w:r>
      <w:r w:rsidR="009B6760" w:rsidRPr="009B6760">
        <w:rPr>
          <w:rFonts w:ascii="EB Garamond" w:eastAsia="EB Garamond" w:hAnsi="EB Garamond" w:cs="EB Garamond"/>
          <w:color w:val="000000"/>
          <w:sz w:val="20"/>
          <w:szCs w:val="20"/>
        </w:rPr>
        <w:t>=96</w:t>
      </w:r>
    </w:p>
    <w:p w14:paraId="7000BA2E"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Where k is the number of variables (independent + dependent</w:t>
      </w:r>
      <w:proofErr w:type="gramStart"/>
      <w:r w:rsidRPr="009B6760">
        <w:rPr>
          <w:rFonts w:ascii="EB Garamond" w:eastAsia="EB Garamond" w:hAnsi="EB Garamond" w:cs="EB Garamond"/>
          <w:color w:val="000000"/>
          <w:sz w:val="20"/>
          <w:szCs w:val="20"/>
        </w:rPr>
        <w:t>)</w:t>
      </w:r>
      <w:proofErr w:type="gramEnd"/>
      <w:r w:rsidRPr="009B6760">
        <w:rPr>
          <w:rFonts w:ascii="EB Garamond" w:eastAsia="EB Garamond" w:hAnsi="EB Garamond" w:cs="EB Garamond"/>
          <w:color w:val="000000"/>
          <w:sz w:val="20"/>
          <w:szCs w:val="20"/>
        </w:rPr>
        <w:t xml:space="preserve"> and n is the number of samples. The test criteria used are:</w:t>
      </w:r>
    </w:p>
    <w:p w14:paraId="75C4FFB2" w14:textId="51C75AF5" w:rsid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If F</w:t>
      </w:r>
      <w:r w:rsidR="00385E8D">
        <w:rPr>
          <w:rFonts w:ascii="EB Garamond" w:eastAsia="EB Garamond" w:hAnsi="EB Garamond" w:cs="EB Garamond"/>
          <w:color w:val="000000"/>
          <w:sz w:val="20"/>
          <w:szCs w:val="20"/>
        </w:rPr>
        <w:t>-</w:t>
      </w:r>
      <w:r w:rsidRPr="009B6760">
        <w:rPr>
          <w:rFonts w:ascii="EB Garamond" w:eastAsia="EB Garamond" w:hAnsi="EB Garamond" w:cs="EB Garamond"/>
          <w:color w:val="000000"/>
          <w:sz w:val="20"/>
          <w:szCs w:val="20"/>
        </w:rPr>
        <w:t>count</w:t>
      </w:r>
      <w:r w:rsidR="00385E8D">
        <w:rPr>
          <w:rFonts w:ascii="EB Garamond" w:eastAsia="EB Garamond" w:hAnsi="EB Garamond" w:cs="EB Garamond"/>
          <w:color w:val="000000"/>
          <w:sz w:val="20"/>
          <w:szCs w:val="20"/>
        </w:rPr>
        <w:t xml:space="preserve"> </w:t>
      </w:r>
      <w:r w:rsidRPr="009B6760">
        <w:rPr>
          <w:rFonts w:ascii="EB Garamond" w:eastAsia="EB Garamond" w:hAnsi="EB Garamond" w:cs="EB Garamond"/>
          <w:color w:val="000000"/>
          <w:sz w:val="20"/>
          <w:szCs w:val="20"/>
        </w:rPr>
        <w:t>&gt; F</w:t>
      </w:r>
      <w:r w:rsidR="00385E8D">
        <w:rPr>
          <w:rFonts w:ascii="EB Garamond" w:eastAsia="EB Garamond" w:hAnsi="EB Garamond" w:cs="EB Garamond"/>
          <w:color w:val="000000"/>
          <w:sz w:val="20"/>
          <w:szCs w:val="20"/>
        </w:rPr>
        <w:t>-</w:t>
      </w:r>
      <w:r w:rsidRPr="009B6760">
        <w:rPr>
          <w:rFonts w:ascii="EB Garamond" w:eastAsia="EB Garamond" w:hAnsi="EB Garamond" w:cs="EB Garamond"/>
          <w:color w:val="000000"/>
          <w:sz w:val="20"/>
          <w:szCs w:val="20"/>
        </w:rPr>
        <w:t>table (nk-1) then H3 is accepted If F</w:t>
      </w:r>
      <w:r w:rsidR="00385E8D">
        <w:rPr>
          <w:rFonts w:ascii="EB Garamond" w:eastAsia="EB Garamond" w:hAnsi="EB Garamond" w:cs="EB Garamond"/>
          <w:color w:val="000000"/>
          <w:sz w:val="20"/>
          <w:szCs w:val="20"/>
        </w:rPr>
        <w:t>-</w:t>
      </w:r>
      <w:r w:rsidRPr="009B6760">
        <w:rPr>
          <w:rFonts w:ascii="EB Garamond" w:eastAsia="EB Garamond" w:hAnsi="EB Garamond" w:cs="EB Garamond"/>
          <w:color w:val="000000"/>
          <w:sz w:val="20"/>
          <w:szCs w:val="20"/>
        </w:rPr>
        <w:t>count</w:t>
      </w:r>
      <w:r w:rsidR="00385E8D">
        <w:rPr>
          <w:rFonts w:ascii="EB Garamond" w:eastAsia="EB Garamond" w:hAnsi="EB Garamond" w:cs="EB Garamond"/>
          <w:color w:val="000000"/>
          <w:sz w:val="20"/>
          <w:szCs w:val="20"/>
        </w:rPr>
        <w:t xml:space="preserve"> </w:t>
      </w:r>
      <w:r w:rsidRPr="009B6760">
        <w:rPr>
          <w:rFonts w:ascii="EB Garamond" w:eastAsia="EB Garamond" w:hAnsi="EB Garamond" w:cs="EB Garamond"/>
          <w:color w:val="000000"/>
          <w:sz w:val="20"/>
          <w:szCs w:val="20"/>
        </w:rPr>
        <w:t>&lt;</w:t>
      </w:r>
      <w:r w:rsidR="00385E8D">
        <w:rPr>
          <w:rFonts w:ascii="EB Garamond" w:eastAsia="EB Garamond" w:hAnsi="EB Garamond" w:cs="EB Garamond"/>
          <w:color w:val="000000"/>
          <w:sz w:val="20"/>
          <w:szCs w:val="20"/>
        </w:rPr>
        <w:t xml:space="preserve"> </w:t>
      </w:r>
      <w:r w:rsidRPr="009B6760">
        <w:rPr>
          <w:rFonts w:ascii="EB Garamond" w:eastAsia="EB Garamond" w:hAnsi="EB Garamond" w:cs="EB Garamond"/>
          <w:color w:val="000000"/>
          <w:sz w:val="20"/>
          <w:szCs w:val="20"/>
        </w:rPr>
        <w:t>F</w:t>
      </w:r>
      <w:r w:rsidR="00385E8D">
        <w:rPr>
          <w:rFonts w:ascii="EB Garamond" w:eastAsia="EB Garamond" w:hAnsi="EB Garamond" w:cs="EB Garamond"/>
          <w:color w:val="000000"/>
          <w:sz w:val="20"/>
          <w:szCs w:val="20"/>
        </w:rPr>
        <w:t>-</w:t>
      </w:r>
      <w:r w:rsidRPr="009B6760">
        <w:rPr>
          <w:rFonts w:ascii="EB Garamond" w:eastAsia="EB Garamond" w:hAnsi="EB Garamond" w:cs="EB Garamond"/>
          <w:color w:val="000000"/>
          <w:sz w:val="20"/>
          <w:szCs w:val="20"/>
        </w:rPr>
        <w:t xml:space="preserve">table (nk-1) then H3 is rejected </w:t>
      </w:r>
      <w:proofErr w:type="gramStart"/>
      <w:r w:rsidRPr="009B6760">
        <w:rPr>
          <w:rFonts w:ascii="EB Garamond" w:eastAsia="EB Garamond" w:hAnsi="EB Garamond" w:cs="EB Garamond"/>
          <w:color w:val="000000"/>
          <w:sz w:val="20"/>
          <w:szCs w:val="20"/>
        </w:rPr>
        <w:t>With</w:t>
      </w:r>
      <w:proofErr w:type="gramEnd"/>
      <w:r w:rsidRPr="009B6760">
        <w:rPr>
          <w:rFonts w:ascii="EB Garamond" w:eastAsia="EB Garamond" w:hAnsi="EB Garamond" w:cs="EB Garamond"/>
          <w:color w:val="000000"/>
          <w:sz w:val="20"/>
          <w:szCs w:val="20"/>
        </w:rPr>
        <w:t xml:space="preserve"> a significance level in this study using an alpha of 5% or 0.05 then the results of the F test can be calculated with the help of the SPSS program in table ANOVA below:</w:t>
      </w:r>
    </w:p>
    <w:p w14:paraId="5610C50E" w14:textId="77777777" w:rsidR="00C556A4" w:rsidRDefault="00C556A4"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195393AF" w14:textId="77777777" w:rsidR="00C556A4" w:rsidRDefault="00C556A4"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360BE92" w14:textId="77777777" w:rsidR="00C556A4" w:rsidRDefault="00C556A4"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6CE0D743" w14:textId="77777777" w:rsidR="00C556A4" w:rsidRDefault="00C556A4"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3599F808" w14:textId="6B7AB98B" w:rsidR="009B6760" w:rsidRPr="00385E8D" w:rsidRDefault="009B6760" w:rsidP="00385E8D">
      <w:pPr>
        <w:pBdr>
          <w:top w:val="nil"/>
          <w:left w:val="nil"/>
          <w:bottom w:val="nil"/>
          <w:right w:val="nil"/>
          <w:between w:val="nil"/>
        </w:pBdr>
        <w:spacing w:after="0" w:line="240" w:lineRule="auto"/>
        <w:ind w:left="1276" w:firstLine="284"/>
        <w:jc w:val="center"/>
        <w:rPr>
          <w:rFonts w:ascii="EB Garamond" w:eastAsia="EB Garamond" w:hAnsi="EB Garamond" w:cs="EB Garamond"/>
          <w:b/>
          <w:bCs/>
          <w:color w:val="000000"/>
          <w:sz w:val="20"/>
          <w:szCs w:val="20"/>
        </w:rPr>
      </w:pPr>
      <w:r w:rsidRPr="009B6760">
        <w:rPr>
          <w:rFonts w:ascii="EB Garamond" w:eastAsia="EB Garamond" w:hAnsi="EB Garamond" w:cs="EB Garamond"/>
          <w:b/>
          <w:bCs/>
          <w:color w:val="000000"/>
          <w:sz w:val="20"/>
          <w:szCs w:val="20"/>
        </w:rPr>
        <w:lastRenderedPageBreak/>
        <w:t xml:space="preserve">Table </w:t>
      </w:r>
      <w:r w:rsidR="00385E8D">
        <w:rPr>
          <w:rFonts w:ascii="EB Garamond" w:eastAsia="EB Garamond" w:hAnsi="EB Garamond" w:cs="EB Garamond"/>
          <w:b/>
          <w:bCs/>
          <w:color w:val="000000"/>
          <w:sz w:val="20"/>
          <w:szCs w:val="20"/>
        </w:rPr>
        <w:t>2.</w:t>
      </w:r>
      <w:r w:rsidRPr="009B6760">
        <w:rPr>
          <w:rFonts w:ascii="EB Garamond" w:eastAsia="EB Garamond" w:hAnsi="EB Garamond" w:cs="EB Garamond"/>
          <w:b/>
          <w:bCs/>
          <w:color w:val="000000"/>
          <w:sz w:val="20"/>
          <w:szCs w:val="20"/>
        </w:rPr>
        <w:t xml:space="preserve"> ANOVA</w:t>
      </w:r>
    </w:p>
    <w:tbl>
      <w:tblPr>
        <w:tblW w:w="4295"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4"/>
        <w:gridCol w:w="1416"/>
        <w:gridCol w:w="1560"/>
        <w:gridCol w:w="709"/>
        <w:gridCol w:w="1134"/>
        <w:gridCol w:w="850"/>
        <w:gridCol w:w="802"/>
      </w:tblGrid>
      <w:tr w:rsidR="009B6760" w:rsidRPr="00385E8D" w14:paraId="4E1CCB1F" w14:textId="77777777" w:rsidTr="00385E8D">
        <w:trPr>
          <w:trHeight w:val="288"/>
        </w:trPr>
        <w:tc>
          <w:tcPr>
            <w:tcW w:w="5000" w:type="pct"/>
            <w:gridSpan w:val="7"/>
            <w:shd w:val="clear" w:color="auto" w:fill="7B3F00"/>
          </w:tcPr>
          <w:p w14:paraId="5F86B6B9" w14:textId="77777777" w:rsidR="009B6760" w:rsidRPr="00385E8D" w:rsidRDefault="009B6760" w:rsidP="009B6760">
            <w:pPr>
              <w:spacing w:after="0" w:line="240" w:lineRule="auto"/>
              <w:jc w:val="center"/>
              <w:rPr>
                <w:rFonts w:ascii="EB Garamond" w:eastAsia="EB Garamond" w:hAnsi="EB Garamond" w:cs="EB Garamond"/>
                <w:color w:val="FFFFFF" w:themeColor="background1"/>
                <w:sz w:val="18"/>
                <w:szCs w:val="18"/>
              </w:rPr>
            </w:pPr>
            <w:r w:rsidRPr="00385E8D">
              <w:rPr>
                <w:rFonts w:ascii="EB Garamond" w:eastAsia="EB Garamond" w:hAnsi="EB Garamond" w:cs="EB Garamond"/>
                <w:color w:val="FFFFFF" w:themeColor="background1"/>
                <w:sz w:val="18"/>
                <w:szCs w:val="18"/>
              </w:rPr>
              <w:t>ANOVA a</w:t>
            </w:r>
          </w:p>
        </w:tc>
      </w:tr>
      <w:tr w:rsidR="00385E8D" w:rsidRPr="00385E8D" w14:paraId="62EC9E9D" w14:textId="77777777" w:rsidTr="00385E8D">
        <w:trPr>
          <w:trHeight w:val="94"/>
        </w:trPr>
        <w:tc>
          <w:tcPr>
            <w:tcW w:w="822" w:type="pct"/>
            <w:shd w:val="clear" w:color="auto" w:fill="7B3F00"/>
          </w:tcPr>
          <w:p w14:paraId="41A93E07" w14:textId="77777777" w:rsidR="009B6760" w:rsidRPr="00385E8D" w:rsidRDefault="009B6760" w:rsidP="009B6760">
            <w:pPr>
              <w:spacing w:after="0" w:line="240" w:lineRule="auto"/>
              <w:jc w:val="center"/>
              <w:rPr>
                <w:rFonts w:ascii="EB Garamond" w:eastAsia="EB Garamond" w:hAnsi="EB Garamond" w:cs="EB Garamond"/>
                <w:color w:val="FFFFFF" w:themeColor="background1"/>
                <w:sz w:val="18"/>
                <w:szCs w:val="18"/>
              </w:rPr>
            </w:pPr>
            <w:r w:rsidRPr="00385E8D">
              <w:rPr>
                <w:rFonts w:ascii="EB Garamond" w:eastAsia="EB Garamond" w:hAnsi="EB Garamond" w:cs="EB Garamond"/>
                <w:color w:val="FFFFFF" w:themeColor="background1"/>
                <w:sz w:val="18"/>
                <w:szCs w:val="18"/>
              </w:rPr>
              <w:t>Model</w:t>
            </w:r>
          </w:p>
        </w:tc>
        <w:tc>
          <w:tcPr>
            <w:tcW w:w="914" w:type="pct"/>
            <w:shd w:val="clear" w:color="auto" w:fill="7B3F00"/>
          </w:tcPr>
          <w:p w14:paraId="14BD5D40" w14:textId="77777777" w:rsidR="009B6760" w:rsidRPr="00385E8D" w:rsidRDefault="009B6760" w:rsidP="009B6760">
            <w:pPr>
              <w:spacing w:after="0" w:line="240" w:lineRule="auto"/>
              <w:jc w:val="center"/>
              <w:rPr>
                <w:rFonts w:ascii="EB Garamond" w:eastAsia="EB Garamond" w:hAnsi="EB Garamond" w:cs="EB Garamond"/>
                <w:color w:val="FFFFFF" w:themeColor="background1"/>
                <w:sz w:val="18"/>
                <w:szCs w:val="18"/>
              </w:rPr>
            </w:pPr>
          </w:p>
        </w:tc>
        <w:tc>
          <w:tcPr>
            <w:tcW w:w="1007" w:type="pct"/>
            <w:shd w:val="clear" w:color="auto" w:fill="7B3F00"/>
          </w:tcPr>
          <w:p w14:paraId="3FAF1766" w14:textId="77777777" w:rsidR="009B6760" w:rsidRPr="00385E8D" w:rsidRDefault="009B6760" w:rsidP="009B6760">
            <w:pPr>
              <w:spacing w:after="0" w:line="240" w:lineRule="auto"/>
              <w:ind w:right="124"/>
              <w:jc w:val="center"/>
              <w:rPr>
                <w:rFonts w:ascii="EB Garamond" w:eastAsia="EB Garamond" w:hAnsi="EB Garamond" w:cs="EB Garamond"/>
                <w:color w:val="FFFFFF" w:themeColor="background1"/>
                <w:sz w:val="18"/>
                <w:szCs w:val="18"/>
              </w:rPr>
            </w:pPr>
            <w:r w:rsidRPr="00385E8D">
              <w:rPr>
                <w:rFonts w:ascii="EB Garamond" w:eastAsia="EB Garamond" w:hAnsi="EB Garamond" w:cs="EB Garamond"/>
                <w:color w:val="FFFFFF" w:themeColor="background1"/>
                <w:sz w:val="18"/>
                <w:szCs w:val="18"/>
              </w:rPr>
              <w:t>Sum of Squares</w:t>
            </w:r>
          </w:p>
        </w:tc>
        <w:tc>
          <w:tcPr>
            <w:tcW w:w="458" w:type="pct"/>
            <w:shd w:val="clear" w:color="auto" w:fill="7B3F00"/>
          </w:tcPr>
          <w:p w14:paraId="3B2171E8" w14:textId="77777777" w:rsidR="009B6760" w:rsidRPr="00385E8D" w:rsidRDefault="009B6760" w:rsidP="009B6760">
            <w:pPr>
              <w:spacing w:after="0" w:line="240" w:lineRule="auto"/>
              <w:ind w:right="355"/>
              <w:jc w:val="center"/>
              <w:rPr>
                <w:rFonts w:ascii="EB Garamond" w:eastAsia="EB Garamond" w:hAnsi="EB Garamond" w:cs="EB Garamond"/>
                <w:color w:val="FFFFFF" w:themeColor="background1"/>
                <w:sz w:val="18"/>
                <w:szCs w:val="18"/>
              </w:rPr>
            </w:pPr>
            <w:r w:rsidRPr="00385E8D">
              <w:rPr>
                <w:rFonts w:ascii="EB Garamond" w:eastAsia="EB Garamond" w:hAnsi="EB Garamond" w:cs="EB Garamond"/>
                <w:color w:val="FFFFFF" w:themeColor="background1"/>
                <w:sz w:val="18"/>
                <w:szCs w:val="18"/>
              </w:rPr>
              <w:t>Df</w:t>
            </w:r>
          </w:p>
        </w:tc>
        <w:tc>
          <w:tcPr>
            <w:tcW w:w="732" w:type="pct"/>
            <w:shd w:val="clear" w:color="auto" w:fill="7B3F00"/>
          </w:tcPr>
          <w:p w14:paraId="0D1BA08F" w14:textId="77777777" w:rsidR="009B6760" w:rsidRPr="00385E8D" w:rsidRDefault="009B6760" w:rsidP="009B6760">
            <w:pPr>
              <w:spacing w:after="0" w:line="240" w:lineRule="auto"/>
              <w:ind w:right="57"/>
              <w:jc w:val="center"/>
              <w:rPr>
                <w:rFonts w:ascii="EB Garamond" w:eastAsia="EB Garamond" w:hAnsi="EB Garamond" w:cs="EB Garamond"/>
                <w:color w:val="FFFFFF" w:themeColor="background1"/>
                <w:sz w:val="18"/>
                <w:szCs w:val="18"/>
              </w:rPr>
            </w:pPr>
            <w:r w:rsidRPr="00385E8D">
              <w:rPr>
                <w:rFonts w:ascii="EB Garamond" w:eastAsia="EB Garamond" w:hAnsi="EB Garamond" w:cs="EB Garamond"/>
                <w:color w:val="FFFFFF" w:themeColor="background1"/>
                <w:sz w:val="18"/>
                <w:szCs w:val="18"/>
              </w:rPr>
              <w:t>Means Square</w:t>
            </w:r>
          </w:p>
        </w:tc>
        <w:tc>
          <w:tcPr>
            <w:tcW w:w="549" w:type="pct"/>
            <w:shd w:val="clear" w:color="auto" w:fill="7B3F00"/>
          </w:tcPr>
          <w:p w14:paraId="77EB482A" w14:textId="77777777" w:rsidR="009B6760" w:rsidRPr="00385E8D" w:rsidRDefault="009B6760" w:rsidP="009B6760">
            <w:pPr>
              <w:spacing w:after="0" w:line="240" w:lineRule="auto"/>
              <w:ind w:right="1"/>
              <w:jc w:val="center"/>
              <w:rPr>
                <w:rFonts w:ascii="EB Garamond" w:eastAsia="EB Garamond" w:hAnsi="EB Garamond" w:cs="EB Garamond"/>
                <w:color w:val="FFFFFF" w:themeColor="background1"/>
                <w:sz w:val="18"/>
                <w:szCs w:val="18"/>
              </w:rPr>
            </w:pPr>
            <w:r w:rsidRPr="00385E8D">
              <w:rPr>
                <w:rFonts w:ascii="EB Garamond" w:eastAsia="EB Garamond" w:hAnsi="EB Garamond" w:cs="EB Garamond"/>
                <w:color w:val="FFFFFF" w:themeColor="background1"/>
                <w:sz w:val="18"/>
                <w:szCs w:val="18"/>
              </w:rPr>
              <w:t>F</w:t>
            </w:r>
          </w:p>
        </w:tc>
        <w:tc>
          <w:tcPr>
            <w:tcW w:w="517" w:type="pct"/>
            <w:shd w:val="clear" w:color="auto" w:fill="7B3F00"/>
          </w:tcPr>
          <w:p w14:paraId="183C78A2" w14:textId="77777777" w:rsidR="009B6760" w:rsidRPr="00385E8D" w:rsidRDefault="009B6760" w:rsidP="009B6760">
            <w:pPr>
              <w:spacing w:after="0" w:line="240" w:lineRule="auto"/>
              <w:jc w:val="center"/>
              <w:rPr>
                <w:rFonts w:ascii="EB Garamond" w:eastAsia="EB Garamond" w:hAnsi="EB Garamond" w:cs="EB Garamond"/>
                <w:color w:val="FFFFFF" w:themeColor="background1"/>
                <w:sz w:val="18"/>
                <w:szCs w:val="18"/>
              </w:rPr>
            </w:pPr>
            <w:r w:rsidRPr="00385E8D">
              <w:rPr>
                <w:rFonts w:ascii="EB Garamond" w:eastAsia="EB Garamond" w:hAnsi="EB Garamond" w:cs="EB Garamond"/>
                <w:color w:val="FFFFFF" w:themeColor="background1"/>
                <w:sz w:val="18"/>
                <w:szCs w:val="18"/>
              </w:rPr>
              <w:t>Sig.</w:t>
            </w:r>
          </w:p>
        </w:tc>
      </w:tr>
      <w:tr w:rsidR="00385E8D" w:rsidRPr="00385E8D" w14:paraId="6700E218" w14:textId="77777777" w:rsidTr="00385E8D">
        <w:trPr>
          <w:trHeight w:val="77"/>
        </w:trPr>
        <w:tc>
          <w:tcPr>
            <w:tcW w:w="822" w:type="pct"/>
            <w:vMerge w:val="restart"/>
            <w:shd w:val="clear" w:color="auto" w:fill="auto"/>
          </w:tcPr>
          <w:p w14:paraId="2A8DDCFB" w14:textId="77777777" w:rsidR="009B6760" w:rsidRPr="00385E8D" w:rsidRDefault="009B6760" w:rsidP="009B6760">
            <w:pPr>
              <w:spacing w:after="0" w:line="240" w:lineRule="auto"/>
              <w:jc w:val="center"/>
              <w:rPr>
                <w:rFonts w:ascii="EB Garamond" w:eastAsia="EB Garamond" w:hAnsi="EB Garamond" w:cs="EB Garamond"/>
                <w:sz w:val="18"/>
                <w:szCs w:val="18"/>
              </w:rPr>
            </w:pPr>
            <w:r w:rsidRPr="00385E8D">
              <w:rPr>
                <w:rFonts w:ascii="EB Garamond" w:eastAsia="EB Garamond" w:hAnsi="EB Garamond" w:cs="EB Garamond"/>
                <w:sz w:val="18"/>
                <w:szCs w:val="18"/>
              </w:rPr>
              <w:t>1</w:t>
            </w:r>
          </w:p>
        </w:tc>
        <w:tc>
          <w:tcPr>
            <w:tcW w:w="914" w:type="pct"/>
            <w:shd w:val="clear" w:color="auto" w:fill="auto"/>
          </w:tcPr>
          <w:p w14:paraId="1F634AE6" w14:textId="77777777" w:rsidR="009B6760" w:rsidRPr="00385E8D" w:rsidRDefault="009B6760" w:rsidP="009B6760">
            <w:pPr>
              <w:spacing w:after="0" w:line="240" w:lineRule="auto"/>
              <w:jc w:val="center"/>
              <w:rPr>
                <w:rFonts w:ascii="EB Garamond" w:eastAsia="EB Garamond" w:hAnsi="EB Garamond" w:cs="EB Garamond"/>
                <w:sz w:val="18"/>
                <w:szCs w:val="18"/>
              </w:rPr>
            </w:pPr>
            <w:r w:rsidRPr="00385E8D">
              <w:rPr>
                <w:rFonts w:ascii="EB Garamond" w:eastAsia="EB Garamond" w:hAnsi="EB Garamond" w:cs="EB Garamond"/>
                <w:sz w:val="18"/>
                <w:szCs w:val="18"/>
              </w:rPr>
              <w:t>Regression</w:t>
            </w:r>
          </w:p>
        </w:tc>
        <w:tc>
          <w:tcPr>
            <w:tcW w:w="1007" w:type="pct"/>
            <w:shd w:val="clear" w:color="auto" w:fill="auto"/>
          </w:tcPr>
          <w:p w14:paraId="3F3D187F" w14:textId="77777777" w:rsidR="009B6760" w:rsidRPr="00385E8D" w:rsidRDefault="009B6760" w:rsidP="009B6760">
            <w:pPr>
              <w:spacing w:after="0" w:line="240" w:lineRule="auto"/>
              <w:ind w:right="52"/>
              <w:jc w:val="center"/>
              <w:rPr>
                <w:rFonts w:ascii="EB Garamond" w:eastAsia="EB Garamond" w:hAnsi="EB Garamond" w:cs="EB Garamond"/>
                <w:sz w:val="18"/>
                <w:szCs w:val="18"/>
              </w:rPr>
            </w:pPr>
            <w:r w:rsidRPr="00385E8D">
              <w:rPr>
                <w:rFonts w:ascii="EB Garamond" w:eastAsia="EB Garamond" w:hAnsi="EB Garamond" w:cs="EB Garamond"/>
                <w:sz w:val="18"/>
                <w:szCs w:val="18"/>
              </w:rPr>
              <w:t>57,459</w:t>
            </w:r>
          </w:p>
        </w:tc>
        <w:tc>
          <w:tcPr>
            <w:tcW w:w="458" w:type="pct"/>
            <w:shd w:val="clear" w:color="auto" w:fill="auto"/>
          </w:tcPr>
          <w:p w14:paraId="25E189CB" w14:textId="77777777" w:rsidR="009B6760" w:rsidRPr="00385E8D" w:rsidRDefault="009B6760" w:rsidP="009B6760">
            <w:pPr>
              <w:spacing w:after="0" w:line="240" w:lineRule="auto"/>
              <w:ind w:right="57"/>
              <w:jc w:val="center"/>
              <w:rPr>
                <w:rFonts w:ascii="EB Garamond" w:eastAsia="EB Garamond" w:hAnsi="EB Garamond" w:cs="EB Garamond"/>
                <w:sz w:val="18"/>
                <w:szCs w:val="18"/>
              </w:rPr>
            </w:pPr>
            <w:r w:rsidRPr="00385E8D">
              <w:rPr>
                <w:rFonts w:ascii="EB Garamond" w:eastAsia="EB Garamond" w:hAnsi="EB Garamond" w:cs="EB Garamond"/>
                <w:sz w:val="18"/>
                <w:szCs w:val="18"/>
              </w:rPr>
              <w:t>3</w:t>
            </w:r>
          </w:p>
        </w:tc>
        <w:tc>
          <w:tcPr>
            <w:tcW w:w="732" w:type="pct"/>
            <w:shd w:val="clear" w:color="auto" w:fill="auto"/>
          </w:tcPr>
          <w:p w14:paraId="586FF96D" w14:textId="77777777" w:rsidR="009B6760" w:rsidRPr="00385E8D" w:rsidRDefault="009B6760" w:rsidP="009B6760">
            <w:pPr>
              <w:spacing w:after="0" w:line="240" w:lineRule="auto"/>
              <w:ind w:right="53"/>
              <w:jc w:val="center"/>
              <w:rPr>
                <w:rFonts w:ascii="EB Garamond" w:eastAsia="EB Garamond" w:hAnsi="EB Garamond" w:cs="EB Garamond"/>
                <w:sz w:val="18"/>
                <w:szCs w:val="18"/>
              </w:rPr>
            </w:pPr>
            <w:r w:rsidRPr="00385E8D">
              <w:rPr>
                <w:rFonts w:ascii="EB Garamond" w:eastAsia="EB Garamond" w:hAnsi="EB Garamond" w:cs="EB Garamond"/>
                <w:sz w:val="18"/>
                <w:szCs w:val="18"/>
              </w:rPr>
              <w:t>19.153</w:t>
            </w:r>
          </w:p>
        </w:tc>
        <w:tc>
          <w:tcPr>
            <w:tcW w:w="549" w:type="pct"/>
            <w:shd w:val="clear" w:color="auto" w:fill="auto"/>
          </w:tcPr>
          <w:p w14:paraId="5AC0ABC7" w14:textId="77777777" w:rsidR="009B6760" w:rsidRPr="00385E8D" w:rsidRDefault="009B6760" w:rsidP="009B6760">
            <w:pPr>
              <w:spacing w:after="0" w:line="240" w:lineRule="auto"/>
              <w:jc w:val="center"/>
              <w:rPr>
                <w:rFonts w:ascii="EB Garamond" w:eastAsia="EB Garamond" w:hAnsi="EB Garamond" w:cs="EB Garamond"/>
                <w:sz w:val="18"/>
                <w:szCs w:val="18"/>
              </w:rPr>
            </w:pPr>
            <w:r w:rsidRPr="00385E8D">
              <w:rPr>
                <w:rFonts w:ascii="EB Garamond" w:eastAsia="EB Garamond" w:hAnsi="EB Garamond" w:cs="EB Garamond"/>
                <w:sz w:val="18"/>
                <w:szCs w:val="18"/>
              </w:rPr>
              <w:t>41,060</w:t>
            </w:r>
          </w:p>
        </w:tc>
        <w:tc>
          <w:tcPr>
            <w:tcW w:w="517" w:type="pct"/>
            <w:shd w:val="clear" w:color="auto" w:fill="auto"/>
          </w:tcPr>
          <w:p w14:paraId="2C8AE1B0" w14:textId="429BAB65" w:rsidR="009B6760" w:rsidRPr="00385E8D" w:rsidRDefault="009B6760" w:rsidP="009B6760">
            <w:pPr>
              <w:spacing w:after="0" w:line="240" w:lineRule="auto"/>
              <w:jc w:val="center"/>
              <w:rPr>
                <w:rFonts w:ascii="EB Garamond" w:eastAsia="EB Garamond" w:hAnsi="EB Garamond" w:cs="EB Garamond"/>
                <w:sz w:val="18"/>
                <w:szCs w:val="18"/>
              </w:rPr>
            </w:pPr>
            <w:r w:rsidRPr="00385E8D">
              <w:rPr>
                <w:rFonts w:ascii="EB Garamond" w:eastAsia="EB Garamond" w:hAnsi="EB Garamond" w:cs="EB Garamond"/>
                <w:sz w:val="18"/>
                <w:szCs w:val="18"/>
              </w:rPr>
              <w:t>,000</w:t>
            </w:r>
            <w:r w:rsidRPr="00385E8D">
              <w:rPr>
                <w:rFonts w:ascii="EB Garamond" w:eastAsia="EB Garamond" w:hAnsi="EB Garamond" w:cs="EB Garamond"/>
                <w:sz w:val="18"/>
                <w:szCs w:val="18"/>
                <w:vertAlign w:val="superscript"/>
              </w:rPr>
              <w:t>b</w:t>
            </w:r>
          </w:p>
        </w:tc>
      </w:tr>
      <w:tr w:rsidR="00385E8D" w:rsidRPr="00385E8D" w14:paraId="25E51F61" w14:textId="77777777" w:rsidTr="00385E8D">
        <w:trPr>
          <w:trHeight w:val="67"/>
        </w:trPr>
        <w:tc>
          <w:tcPr>
            <w:tcW w:w="822" w:type="pct"/>
            <w:vMerge/>
            <w:shd w:val="clear" w:color="auto" w:fill="auto"/>
          </w:tcPr>
          <w:p w14:paraId="27EEA5A9" w14:textId="77777777" w:rsidR="009B6760" w:rsidRPr="00385E8D" w:rsidRDefault="009B6760" w:rsidP="009B6760">
            <w:pPr>
              <w:spacing w:after="0" w:line="240" w:lineRule="auto"/>
              <w:jc w:val="center"/>
              <w:rPr>
                <w:rFonts w:ascii="EB Garamond" w:eastAsia="EB Garamond" w:hAnsi="EB Garamond" w:cs="EB Garamond"/>
                <w:sz w:val="18"/>
                <w:szCs w:val="18"/>
              </w:rPr>
            </w:pPr>
          </w:p>
        </w:tc>
        <w:tc>
          <w:tcPr>
            <w:tcW w:w="914" w:type="pct"/>
            <w:shd w:val="clear" w:color="auto" w:fill="auto"/>
          </w:tcPr>
          <w:p w14:paraId="0956104D" w14:textId="77777777" w:rsidR="009B6760" w:rsidRPr="00385E8D" w:rsidRDefault="009B6760" w:rsidP="009B6760">
            <w:pPr>
              <w:spacing w:after="0" w:line="240" w:lineRule="auto"/>
              <w:ind w:left="67"/>
              <w:jc w:val="center"/>
              <w:rPr>
                <w:rFonts w:ascii="EB Garamond" w:eastAsia="EB Garamond" w:hAnsi="EB Garamond" w:cs="EB Garamond"/>
                <w:sz w:val="18"/>
                <w:szCs w:val="18"/>
              </w:rPr>
            </w:pPr>
            <w:r w:rsidRPr="00385E8D">
              <w:rPr>
                <w:rFonts w:ascii="EB Garamond" w:eastAsia="EB Garamond" w:hAnsi="EB Garamond" w:cs="EB Garamond"/>
                <w:sz w:val="18"/>
                <w:szCs w:val="18"/>
              </w:rPr>
              <w:t>residual</w:t>
            </w:r>
          </w:p>
        </w:tc>
        <w:tc>
          <w:tcPr>
            <w:tcW w:w="1007" w:type="pct"/>
            <w:shd w:val="clear" w:color="auto" w:fill="auto"/>
          </w:tcPr>
          <w:p w14:paraId="45BC0D86" w14:textId="77777777" w:rsidR="009B6760" w:rsidRPr="00385E8D" w:rsidRDefault="009B6760" w:rsidP="009B6760">
            <w:pPr>
              <w:spacing w:after="0" w:line="240" w:lineRule="auto"/>
              <w:ind w:right="52"/>
              <w:jc w:val="center"/>
              <w:rPr>
                <w:rFonts w:ascii="EB Garamond" w:eastAsia="EB Garamond" w:hAnsi="EB Garamond" w:cs="EB Garamond"/>
                <w:sz w:val="18"/>
                <w:szCs w:val="18"/>
              </w:rPr>
            </w:pPr>
            <w:r w:rsidRPr="00385E8D">
              <w:rPr>
                <w:rFonts w:ascii="EB Garamond" w:eastAsia="EB Garamond" w:hAnsi="EB Garamond" w:cs="EB Garamond"/>
                <w:sz w:val="18"/>
                <w:szCs w:val="18"/>
              </w:rPr>
              <w:t>44,781</w:t>
            </w:r>
          </w:p>
        </w:tc>
        <w:tc>
          <w:tcPr>
            <w:tcW w:w="458" w:type="pct"/>
            <w:shd w:val="clear" w:color="auto" w:fill="auto"/>
          </w:tcPr>
          <w:p w14:paraId="5A5FA652" w14:textId="77777777" w:rsidR="009B6760" w:rsidRPr="00385E8D" w:rsidRDefault="009B6760" w:rsidP="009B6760">
            <w:pPr>
              <w:spacing w:after="0" w:line="240" w:lineRule="auto"/>
              <w:ind w:right="57"/>
              <w:jc w:val="center"/>
              <w:rPr>
                <w:rFonts w:ascii="EB Garamond" w:eastAsia="EB Garamond" w:hAnsi="EB Garamond" w:cs="EB Garamond"/>
                <w:sz w:val="18"/>
                <w:szCs w:val="18"/>
              </w:rPr>
            </w:pPr>
            <w:r w:rsidRPr="00385E8D">
              <w:rPr>
                <w:rFonts w:ascii="EB Garamond" w:eastAsia="EB Garamond" w:hAnsi="EB Garamond" w:cs="EB Garamond"/>
                <w:sz w:val="18"/>
                <w:szCs w:val="18"/>
              </w:rPr>
              <w:t>96</w:t>
            </w:r>
          </w:p>
        </w:tc>
        <w:tc>
          <w:tcPr>
            <w:tcW w:w="732" w:type="pct"/>
            <w:shd w:val="clear" w:color="auto" w:fill="auto"/>
          </w:tcPr>
          <w:p w14:paraId="227C6D0F" w14:textId="77777777" w:rsidR="009B6760" w:rsidRPr="00385E8D" w:rsidRDefault="009B6760" w:rsidP="009B6760">
            <w:pPr>
              <w:spacing w:after="0" w:line="240" w:lineRule="auto"/>
              <w:ind w:right="53"/>
              <w:jc w:val="center"/>
              <w:rPr>
                <w:rFonts w:ascii="EB Garamond" w:eastAsia="EB Garamond" w:hAnsi="EB Garamond" w:cs="EB Garamond"/>
                <w:sz w:val="18"/>
                <w:szCs w:val="18"/>
              </w:rPr>
            </w:pPr>
            <w:r w:rsidRPr="00385E8D">
              <w:rPr>
                <w:rFonts w:ascii="EB Garamond" w:eastAsia="EB Garamond" w:hAnsi="EB Garamond" w:cs="EB Garamond"/>
                <w:sz w:val="18"/>
                <w:szCs w:val="18"/>
              </w:rPr>
              <w:t>,466</w:t>
            </w:r>
          </w:p>
        </w:tc>
        <w:tc>
          <w:tcPr>
            <w:tcW w:w="549" w:type="pct"/>
            <w:shd w:val="clear" w:color="auto" w:fill="auto"/>
          </w:tcPr>
          <w:p w14:paraId="1A70A70D" w14:textId="77777777" w:rsidR="009B6760" w:rsidRPr="00385E8D" w:rsidRDefault="009B6760" w:rsidP="009B6760">
            <w:pPr>
              <w:spacing w:after="0" w:line="240" w:lineRule="auto"/>
              <w:jc w:val="center"/>
              <w:rPr>
                <w:rFonts w:ascii="EB Garamond" w:eastAsia="EB Garamond" w:hAnsi="EB Garamond" w:cs="EB Garamond"/>
                <w:sz w:val="18"/>
                <w:szCs w:val="18"/>
              </w:rPr>
            </w:pPr>
          </w:p>
        </w:tc>
        <w:tc>
          <w:tcPr>
            <w:tcW w:w="517" w:type="pct"/>
            <w:shd w:val="clear" w:color="auto" w:fill="auto"/>
          </w:tcPr>
          <w:p w14:paraId="6EC565F3" w14:textId="77777777" w:rsidR="009B6760" w:rsidRPr="00385E8D" w:rsidRDefault="009B6760" w:rsidP="009B6760">
            <w:pPr>
              <w:spacing w:after="0" w:line="240" w:lineRule="auto"/>
              <w:jc w:val="center"/>
              <w:rPr>
                <w:rFonts w:ascii="EB Garamond" w:eastAsia="EB Garamond" w:hAnsi="EB Garamond" w:cs="EB Garamond"/>
                <w:sz w:val="18"/>
                <w:szCs w:val="18"/>
              </w:rPr>
            </w:pPr>
          </w:p>
        </w:tc>
      </w:tr>
      <w:tr w:rsidR="00385E8D" w:rsidRPr="00385E8D" w14:paraId="43022F31" w14:textId="77777777" w:rsidTr="00385E8D">
        <w:trPr>
          <w:trHeight w:val="199"/>
        </w:trPr>
        <w:tc>
          <w:tcPr>
            <w:tcW w:w="822" w:type="pct"/>
            <w:vMerge/>
            <w:shd w:val="clear" w:color="auto" w:fill="auto"/>
          </w:tcPr>
          <w:p w14:paraId="61F188B4" w14:textId="77777777" w:rsidR="009B6760" w:rsidRPr="00385E8D" w:rsidRDefault="009B6760" w:rsidP="009B6760">
            <w:pPr>
              <w:spacing w:after="0" w:line="240" w:lineRule="auto"/>
              <w:jc w:val="center"/>
              <w:rPr>
                <w:rFonts w:ascii="EB Garamond" w:eastAsia="EB Garamond" w:hAnsi="EB Garamond" w:cs="EB Garamond"/>
                <w:sz w:val="18"/>
                <w:szCs w:val="18"/>
              </w:rPr>
            </w:pPr>
          </w:p>
        </w:tc>
        <w:tc>
          <w:tcPr>
            <w:tcW w:w="914" w:type="pct"/>
            <w:shd w:val="clear" w:color="auto" w:fill="auto"/>
          </w:tcPr>
          <w:p w14:paraId="0A1651A3" w14:textId="77777777" w:rsidR="009B6760" w:rsidRPr="00385E8D" w:rsidRDefault="009B6760" w:rsidP="009B6760">
            <w:pPr>
              <w:spacing w:after="0" w:line="240" w:lineRule="auto"/>
              <w:ind w:left="67"/>
              <w:jc w:val="center"/>
              <w:rPr>
                <w:rFonts w:ascii="EB Garamond" w:eastAsia="EB Garamond" w:hAnsi="EB Garamond" w:cs="EB Garamond"/>
                <w:sz w:val="18"/>
                <w:szCs w:val="18"/>
              </w:rPr>
            </w:pPr>
            <w:r w:rsidRPr="00385E8D">
              <w:rPr>
                <w:rFonts w:ascii="EB Garamond" w:eastAsia="EB Garamond" w:hAnsi="EB Garamond" w:cs="EB Garamond"/>
                <w:sz w:val="18"/>
                <w:szCs w:val="18"/>
              </w:rPr>
              <w:t>Total</w:t>
            </w:r>
          </w:p>
        </w:tc>
        <w:tc>
          <w:tcPr>
            <w:tcW w:w="1007" w:type="pct"/>
            <w:shd w:val="clear" w:color="auto" w:fill="auto"/>
          </w:tcPr>
          <w:p w14:paraId="15469171" w14:textId="77777777" w:rsidR="009B6760" w:rsidRPr="00385E8D" w:rsidRDefault="009B6760" w:rsidP="009B6760">
            <w:pPr>
              <w:spacing w:after="0" w:line="240" w:lineRule="auto"/>
              <w:ind w:right="52"/>
              <w:jc w:val="center"/>
              <w:rPr>
                <w:rFonts w:ascii="EB Garamond" w:eastAsia="EB Garamond" w:hAnsi="EB Garamond" w:cs="EB Garamond"/>
                <w:sz w:val="18"/>
                <w:szCs w:val="18"/>
              </w:rPr>
            </w:pPr>
            <w:r w:rsidRPr="00385E8D">
              <w:rPr>
                <w:rFonts w:ascii="EB Garamond" w:eastAsia="EB Garamond" w:hAnsi="EB Garamond" w:cs="EB Garamond"/>
                <w:sz w:val="18"/>
                <w:szCs w:val="18"/>
              </w:rPr>
              <w:t>102,240</w:t>
            </w:r>
          </w:p>
        </w:tc>
        <w:tc>
          <w:tcPr>
            <w:tcW w:w="458" w:type="pct"/>
            <w:shd w:val="clear" w:color="auto" w:fill="auto"/>
          </w:tcPr>
          <w:p w14:paraId="4F464A81" w14:textId="77777777" w:rsidR="009B6760" w:rsidRPr="00385E8D" w:rsidRDefault="009B6760" w:rsidP="009B6760">
            <w:pPr>
              <w:spacing w:after="0" w:line="240" w:lineRule="auto"/>
              <w:ind w:right="57"/>
              <w:jc w:val="center"/>
              <w:rPr>
                <w:rFonts w:ascii="EB Garamond" w:eastAsia="EB Garamond" w:hAnsi="EB Garamond" w:cs="EB Garamond"/>
                <w:sz w:val="18"/>
                <w:szCs w:val="18"/>
              </w:rPr>
            </w:pPr>
            <w:r w:rsidRPr="00385E8D">
              <w:rPr>
                <w:rFonts w:ascii="EB Garamond" w:eastAsia="EB Garamond" w:hAnsi="EB Garamond" w:cs="EB Garamond"/>
                <w:sz w:val="18"/>
                <w:szCs w:val="18"/>
              </w:rPr>
              <w:t>99</w:t>
            </w:r>
          </w:p>
        </w:tc>
        <w:tc>
          <w:tcPr>
            <w:tcW w:w="732" w:type="pct"/>
            <w:shd w:val="clear" w:color="auto" w:fill="auto"/>
          </w:tcPr>
          <w:p w14:paraId="56A52861" w14:textId="77777777" w:rsidR="009B6760" w:rsidRPr="00385E8D" w:rsidRDefault="009B6760" w:rsidP="009B6760">
            <w:pPr>
              <w:spacing w:after="0" w:line="240" w:lineRule="auto"/>
              <w:jc w:val="center"/>
              <w:rPr>
                <w:rFonts w:ascii="EB Garamond" w:eastAsia="EB Garamond" w:hAnsi="EB Garamond" w:cs="EB Garamond"/>
                <w:sz w:val="18"/>
                <w:szCs w:val="18"/>
              </w:rPr>
            </w:pPr>
          </w:p>
        </w:tc>
        <w:tc>
          <w:tcPr>
            <w:tcW w:w="549" w:type="pct"/>
            <w:shd w:val="clear" w:color="auto" w:fill="auto"/>
          </w:tcPr>
          <w:p w14:paraId="190AF233" w14:textId="77777777" w:rsidR="009B6760" w:rsidRPr="00385E8D" w:rsidRDefault="009B6760" w:rsidP="009B6760">
            <w:pPr>
              <w:spacing w:after="0" w:line="240" w:lineRule="auto"/>
              <w:jc w:val="center"/>
              <w:rPr>
                <w:rFonts w:ascii="EB Garamond" w:eastAsia="EB Garamond" w:hAnsi="EB Garamond" w:cs="EB Garamond"/>
                <w:sz w:val="18"/>
                <w:szCs w:val="18"/>
              </w:rPr>
            </w:pPr>
          </w:p>
        </w:tc>
        <w:tc>
          <w:tcPr>
            <w:tcW w:w="517" w:type="pct"/>
            <w:shd w:val="clear" w:color="auto" w:fill="auto"/>
          </w:tcPr>
          <w:p w14:paraId="53FA43A7" w14:textId="77777777" w:rsidR="009B6760" w:rsidRPr="00385E8D" w:rsidRDefault="009B6760" w:rsidP="009B6760">
            <w:pPr>
              <w:spacing w:after="0" w:line="240" w:lineRule="auto"/>
              <w:jc w:val="center"/>
              <w:rPr>
                <w:rFonts w:ascii="EB Garamond" w:eastAsia="EB Garamond" w:hAnsi="EB Garamond" w:cs="EB Garamond"/>
                <w:sz w:val="18"/>
                <w:szCs w:val="18"/>
              </w:rPr>
            </w:pPr>
          </w:p>
        </w:tc>
      </w:tr>
    </w:tbl>
    <w:p w14:paraId="51C9648E" w14:textId="77777777" w:rsidR="00385E8D" w:rsidRDefault="00385E8D"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18A2F41E" w14:textId="37339AE0"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Third Hypothesis Testing</w:t>
      </w:r>
    </w:p>
    <w:p w14:paraId="3E7BE9DB"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Cambria Math" w:eastAsia="EB Garamond" w:hAnsi="Cambria Math" w:cs="Cambria Math"/>
          <w:color w:val="000000"/>
          <w:sz w:val="20"/>
          <w:szCs w:val="20"/>
        </w:rPr>
        <w:t>𝐻𝑂</w:t>
      </w:r>
      <w:r w:rsidRPr="009B6760">
        <w:rPr>
          <w:rFonts w:ascii="EB Garamond" w:eastAsia="EB Garamond" w:hAnsi="EB Garamond" w:cs="EB Garamond"/>
          <w:color w:val="000000"/>
          <w:sz w:val="20"/>
          <w:szCs w:val="20"/>
        </w:rPr>
        <w:t>= Assets, guarantees and interest rates simultaneously have no positive and significant effect on customer credit decisions at Bank SULSELBAR Majene Branch</w:t>
      </w:r>
    </w:p>
    <w:p w14:paraId="32C750EC"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Cambria Math" w:eastAsia="EB Garamond" w:hAnsi="Cambria Math" w:cs="Cambria Math"/>
          <w:color w:val="000000"/>
          <w:sz w:val="20"/>
          <w:szCs w:val="20"/>
        </w:rPr>
        <w:t>𝐻</w:t>
      </w:r>
      <w:r w:rsidRPr="009B6760">
        <w:rPr>
          <w:rFonts w:ascii="EB Garamond" w:eastAsia="EB Garamond" w:hAnsi="EB Garamond" w:cs="EB Garamond"/>
          <w:color w:val="000000"/>
          <w:sz w:val="20"/>
          <w:szCs w:val="20"/>
        </w:rPr>
        <w:t>4 = Assets, guarantees and interest rates simultaneously have a positive and significant effect on customer credit decisions at Bank SULSELBAR Majene Branch.</w:t>
      </w:r>
    </w:p>
    <w:p w14:paraId="237849D3" w14:textId="0CBDE159"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 xml:space="preserve">From the results of the SPSS output, </w:t>
      </w:r>
      <w:r w:rsidR="00385E8D" w:rsidRPr="009B6760">
        <w:rPr>
          <w:rFonts w:ascii="EB Garamond" w:eastAsia="EB Garamond" w:hAnsi="EB Garamond" w:cs="EB Garamond"/>
          <w:color w:val="000000"/>
          <w:sz w:val="20"/>
          <w:szCs w:val="20"/>
        </w:rPr>
        <w:t>the</w:t>
      </w:r>
      <w:r w:rsidRPr="009B6760">
        <w:rPr>
          <w:rFonts w:ascii="EB Garamond" w:eastAsia="EB Garamond" w:hAnsi="EB Garamond" w:cs="EB Garamond"/>
          <w:color w:val="000000"/>
          <w:sz w:val="20"/>
          <w:szCs w:val="20"/>
        </w:rPr>
        <w:t xml:space="preserve"> calculated F value is 40.084 while the F table value with df1 = k-1(4-1=3), df2 = nk (100-4= 96), then the F table value is 2.70. Because the calculated F value is greater than the F table, namely 41.060&gt; 2.70, then H4 is accepted. In addition, it is reinforced by a p value that is smaller than the significance level, namely 0.000 &lt;0.05. So, it can be concluded that assets, guarantees and interest rates simultaneously have a positive and significant effect on customer credit decisions at Bank SULSELBAR Majene Branch.</w:t>
      </w:r>
    </w:p>
    <w:p w14:paraId="58B4E031" w14:textId="77777777" w:rsidR="009B6760" w:rsidRP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2E09AF03" w14:textId="77777777" w:rsidR="009B6760" w:rsidRPr="00385E8D"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i/>
          <w:iCs/>
          <w:color w:val="000000"/>
          <w:sz w:val="20"/>
          <w:szCs w:val="20"/>
        </w:rPr>
      </w:pPr>
      <w:r w:rsidRPr="00385E8D">
        <w:rPr>
          <w:rFonts w:ascii="EB Garamond" w:eastAsia="EB Garamond" w:hAnsi="EB Garamond" w:cs="EB Garamond"/>
          <w:i/>
          <w:iCs/>
          <w:color w:val="000000"/>
          <w:sz w:val="20"/>
          <w:szCs w:val="20"/>
        </w:rPr>
        <w:t>Determination Coefficient Test Results</w:t>
      </w:r>
    </w:p>
    <w:p w14:paraId="448BDF8E" w14:textId="77777777" w:rsid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The results of the test for the coefficient of determination in this study can be seen in the output of the SPSS model Summary in the table below:</w:t>
      </w:r>
    </w:p>
    <w:p w14:paraId="7DC8B512" w14:textId="77777777" w:rsidR="004351BC" w:rsidRPr="009B6760" w:rsidRDefault="004351BC"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6AD098E7" w14:textId="17D76163" w:rsidR="009B6760" w:rsidRPr="004351BC" w:rsidRDefault="009B6760" w:rsidP="004351BC">
      <w:pPr>
        <w:pBdr>
          <w:top w:val="nil"/>
          <w:left w:val="nil"/>
          <w:bottom w:val="nil"/>
          <w:right w:val="nil"/>
          <w:between w:val="nil"/>
        </w:pBdr>
        <w:spacing w:after="0" w:line="240" w:lineRule="auto"/>
        <w:ind w:left="1276" w:firstLine="284"/>
        <w:jc w:val="center"/>
        <w:rPr>
          <w:rFonts w:ascii="EB Garamond" w:eastAsia="EB Garamond" w:hAnsi="EB Garamond" w:cs="EB Garamond"/>
          <w:b/>
          <w:bCs/>
          <w:color w:val="000000"/>
          <w:sz w:val="20"/>
          <w:szCs w:val="20"/>
        </w:rPr>
      </w:pPr>
      <w:r w:rsidRPr="004351BC">
        <w:rPr>
          <w:rFonts w:ascii="EB Garamond" w:eastAsia="EB Garamond" w:hAnsi="EB Garamond" w:cs="EB Garamond"/>
          <w:b/>
          <w:bCs/>
          <w:color w:val="000000"/>
          <w:sz w:val="20"/>
          <w:szCs w:val="20"/>
        </w:rPr>
        <w:t>Table 11</w:t>
      </w:r>
      <w:r w:rsidR="004351BC">
        <w:rPr>
          <w:rFonts w:ascii="EB Garamond" w:eastAsia="EB Garamond" w:hAnsi="EB Garamond" w:cs="EB Garamond"/>
          <w:b/>
          <w:bCs/>
          <w:color w:val="000000"/>
          <w:sz w:val="20"/>
          <w:szCs w:val="20"/>
        </w:rPr>
        <w:t>.</w:t>
      </w:r>
      <w:r w:rsidRPr="004351BC">
        <w:rPr>
          <w:rFonts w:ascii="EB Garamond" w:eastAsia="EB Garamond" w:hAnsi="EB Garamond" w:cs="EB Garamond"/>
          <w:b/>
          <w:bCs/>
          <w:color w:val="000000"/>
          <w:sz w:val="20"/>
          <w:szCs w:val="20"/>
        </w:rPr>
        <w:t xml:space="preserve"> Test of the Coefficient of Determination</w:t>
      </w:r>
    </w:p>
    <w:tbl>
      <w:tblPr>
        <w:tblW w:w="7794"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61"/>
        <w:gridCol w:w="904"/>
        <w:gridCol w:w="1812"/>
        <w:gridCol w:w="2103"/>
        <w:gridCol w:w="1514"/>
      </w:tblGrid>
      <w:tr w:rsidR="00385E8D" w:rsidRPr="00385E8D" w14:paraId="46079E7B" w14:textId="77777777" w:rsidTr="009E00DA">
        <w:tc>
          <w:tcPr>
            <w:tcW w:w="1461" w:type="dxa"/>
            <w:shd w:val="clear" w:color="auto" w:fill="7B3F00"/>
            <w:vAlign w:val="center"/>
          </w:tcPr>
          <w:p w14:paraId="4DDFD35C" w14:textId="77777777" w:rsidR="00385E8D" w:rsidRPr="00385E8D" w:rsidRDefault="00385E8D" w:rsidP="004351BC">
            <w:pPr>
              <w:widowControl w:val="0"/>
              <w:autoSpaceDE w:val="0"/>
              <w:autoSpaceDN w:val="0"/>
              <w:spacing w:after="0" w:line="240" w:lineRule="auto"/>
              <w:rPr>
                <w:rFonts w:ascii="Adobe Garamond Pro" w:eastAsia="Times New Roman" w:hAnsi="Adobe Garamond Pro" w:cs="Times New Roman"/>
                <w:color w:val="FFFFFF" w:themeColor="background1"/>
                <w:sz w:val="18"/>
                <w:szCs w:val="18"/>
                <w:lang w:val="id"/>
              </w:rPr>
            </w:pPr>
          </w:p>
          <w:p w14:paraId="7C55B5A9" w14:textId="59AB11E6" w:rsidR="00385E8D" w:rsidRPr="00385E8D" w:rsidRDefault="00385E8D" w:rsidP="00385E8D">
            <w:pPr>
              <w:widowControl w:val="0"/>
              <w:autoSpaceDE w:val="0"/>
              <w:autoSpaceDN w:val="0"/>
              <w:spacing w:after="0" w:line="240" w:lineRule="auto"/>
              <w:ind w:left="62"/>
              <w:jc w:val="center"/>
              <w:rPr>
                <w:rFonts w:ascii="Adobe Garamond Pro" w:eastAsia="Times New Roman" w:hAnsi="Adobe Garamond Pro" w:cs="Times New Roman"/>
                <w:color w:val="FFFFFF" w:themeColor="background1"/>
                <w:sz w:val="18"/>
                <w:szCs w:val="18"/>
              </w:rPr>
            </w:pPr>
            <w:r>
              <w:rPr>
                <w:rFonts w:ascii="Adobe Garamond Pro" w:eastAsia="Times New Roman" w:hAnsi="Adobe Garamond Pro" w:cs="Times New Roman"/>
                <w:color w:val="FFFFFF" w:themeColor="background1"/>
                <w:sz w:val="18"/>
                <w:szCs w:val="18"/>
              </w:rPr>
              <w:t>R</w:t>
            </w:r>
          </w:p>
        </w:tc>
        <w:tc>
          <w:tcPr>
            <w:tcW w:w="904" w:type="dxa"/>
            <w:shd w:val="clear" w:color="auto" w:fill="7B3F00"/>
            <w:vAlign w:val="center"/>
          </w:tcPr>
          <w:p w14:paraId="7F270D7A" w14:textId="77777777" w:rsidR="00385E8D" w:rsidRPr="00385E8D" w:rsidRDefault="00385E8D" w:rsidP="004351BC">
            <w:pPr>
              <w:widowControl w:val="0"/>
              <w:autoSpaceDE w:val="0"/>
              <w:autoSpaceDN w:val="0"/>
              <w:spacing w:after="0" w:line="240" w:lineRule="auto"/>
              <w:rPr>
                <w:rFonts w:ascii="Adobe Garamond Pro" w:eastAsia="Times New Roman" w:hAnsi="Adobe Garamond Pro" w:cs="Times New Roman"/>
                <w:color w:val="FFFFFF" w:themeColor="background1"/>
                <w:sz w:val="18"/>
                <w:szCs w:val="18"/>
                <w:lang w:val="id"/>
              </w:rPr>
            </w:pPr>
          </w:p>
          <w:p w14:paraId="183CEF8B" w14:textId="77777777" w:rsidR="00385E8D" w:rsidRPr="00385E8D" w:rsidRDefault="00385E8D" w:rsidP="004351BC">
            <w:pPr>
              <w:widowControl w:val="0"/>
              <w:autoSpaceDE w:val="0"/>
              <w:autoSpaceDN w:val="0"/>
              <w:spacing w:after="0" w:line="240" w:lineRule="auto"/>
              <w:ind w:right="87"/>
              <w:jc w:val="right"/>
              <w:rPr>
                <w:rFonts w:ascii="Adobe Garamond Pro" w:eastAsia="Times New Roman" w:hAnsi="Adobe Garamond Pro" w:cs="Times New Roman"/>
                <w:color w:val="FFFFFF" w:themeColor="background1"/>
                <w:sz w:val="18"/>
                <w:szCs w:val="18"/>
                <w:lang w:val="id"/>
              </w:rPr>
            </w:pPr>
            <w:r w:rsidRPr="00385E8D">
              <w:rPr>
                <w:rFonts w:ascii="Adobe Garamond Pro" w:eastAsia="Times New Roman" w:hAnsi="Adobe Garamond Pro" w:cs="Times New Roman"/>
                <w:color w:val="FFFFFF" w:themeColor="background1"/>
                <w:sz w:val="18"/>
                <w:szCs w:val="18"/>
                <w:lang w:val="id"/>
              </w:rPr>
              <w:t>R</w:t>
            </w:r>
            <w:r w:rsidRPr="00385E8D">
              <w:rPr>
                <w:rFonts w:ascii="Adobe Garamond Pro" w:eastAsia="Times New Roman" w:hAnsi="Adobe Garamond Pro" w:cs="Times New Roman"/>
                <w:color w:val="FFFFFF" w:themeColor="background1"/>
                <w:spacing w:val="-1"/>
                <w:sz w:val="18"/>
                <w:szCs w:val="18"/>
                <w:lang w:val="id"/>
              </w:rPr>
              <w:t xml:space="preserve"> </w:t>
            </w:r>
            <w:r w:rsidRPr="00385E8D">
              <w:rPr>
                <w:rFonts w:ascii="Adobe Garamond Pro" w:eastAsia="Times New Roman" w:hAnsi="Adobe Garamond Pro" w:cs="Times New Roman"/>
                <w:color w:val="FFFFFF" w:themeColor="background1"/>
                <w:sz w:val="18"/>
                <w:szCs w:val="18"/>
                <w:lang w:val="id"/>
              </w:rPr>
              <w:t>Square</w:t>
            </w:r>
          </w:p>
        </w:tc>
        <w:tc>
          <w:tcPr>
            <w:tcW w:w="1812" w:type="dxa"/>
            <w:shd w:val="clear" w:color="auto" w:fill="7B3F00"/>
            <w:vAlign w:val="center"/>
          </w:tcPr>
          <w:p w14:paraId="74BE6276" w14:textId="77777777" w:rsidR="00385E8D" w:rsidRPr="00385E8D" w:rsidRDefault="00385E8D" w:rsidP="004351BC">
            <w:pPr>
              <w:widowControl w:val="0"/>
              <w:autoSpaceDE w:val="0"/>
              <w:autoSpaceDN w:val="0"/>
              <w:spacing w:after="0" w:line="240" w:lineRule="auto"/>
              <w:ind w:left="399" w:right="159" w:hanging="207"/>
              <w:rPr>
                <w:rFonts w:ascii="Adobe Garamond Pro" w:eastAsia="Times New Roman" w:hAnsi="Adobe Garamond Pro" w:cs="Times New Roman"/>
                <w:color w:val="FFFFFF" w:themeColor="background1"/>
                <w:sz w:val="18"/>
                <w:szCs w:val="18"/>
                <w:lang w:val="id"/>
              </w:rPr>
            </w:pPr>
            <w:r w:rsidRPr="00385E8D">
              <w:rPr>
                <w:rFonts w:ascii="Adobe Garamond Pro" w:eastAsia="Times New Roman" w:hAnsi="Adobe Garamond Pro" w:cs="Times New Roman"/>
                <w:color w:val="FFFFFF" w:themeColor="background1"/>
                <w:sz w:val="18"/>
                <w:szCs w:val="18"/>
                <w:lang w:val="id"/>
              </w:rPr>
              <w:t>Adjusted R</w:t>
            </w:r>
            <w:r w:rsidRPr="00385E8D">
              <w:rPr>
                <w:rFonts w:ascii="Adobe Garamond Pro" w:eastAsia="Times New Roman" w:hAnsi="Adobe Garamond Pro" w:cs="Times New Roman"/>
                <w:color w:val="FFFFFF" w:themeColor="background1"/>
                <w:spacing w:val="-57"/>
                <w:sz w:val="18"/>
                <w:szCs w:val="18"/>
                <w:lang w:val="id"/>
              </w:rPr>
              <w:t xml:space="preserve"> </w:t>
            </w:r>
            <w:r w:rsidRPr="00385E8D">
              <w:rPr>
                <w:rFonts w:ascii="Adobe Garamond Pro" w:eastAsia="Times New Roman" w:hAnsi="Adobe Garamond Pro" w:cs="Times New Roman"/>
                <w:color w:val="FFFFFF" w:themeColor="background1"/>
                <w:sz w:val="18"/>
                <w:szCs w:val="18"/>
                <w:lang w:val="id"/>
              </w:rPr>
              <w:t>Square</w:t>
            </w:r>
          </w:p>
        </w:tc>
        <w:tc>
          <w:tcPr>
            <w:tcW w:w="2103" w:type="dxa"/>
            <w:shd w:val="clear" w:color="auto" w:fill="7B3F00"/>
            <w:vAlign w:val="center"/>
          </w:tcPr>
          <w:p w14:paraId="46D44732" w14:textId="77777777" w:rsidR="00385E8D" w:rsidRPr="00385E8D" w:rsidRDefault="00385E8D" w:rsidP="004351BC">
            <w:pPr>
              <w:widowControl w:val="0"/>
              <w:autoSpaceDE w:val="0"/>
              <w:autoSpaceDN w:val="0"/>
              <w:spacing w:after="0" w:line="240" w:lineRule="auto"/>
              <w:ind w:left="136" w:right="100" w:hanging="10"/>
              <w:rPr>
                <w:rFonts w:ascii="Adobe Garamond Pro" w:eastAsia="Times New Roman" w:hAnsi="Adobe Garamond Pro" w:cs="Times New Roman"/>
                <w:color w:val="FFFFFF" w:themeColor="background1"/>
                <w:sz w:val="18"/>
                <w:szCs w:val="18"/>
                <w:lang w:val="id"/>
              </w:rPr>
            </w:pPr>
            <w:r w:rsidRPr="00385E8D">
              <w:rPr>
                <w:rFonts w:ascii="Adobe Garamond Pro" w:eastAsia="Times New Roman" w:hAnsi="Adobe Garamond Pro" w:cs="Times New Roman"/>
                <w:color w:val="FFFFFF" w:themeColor="background1"/>
                <w:sz w:val="18"/>
                <w:szCs w:val="18"/>
                <w:lang w:val="id"/>
              </w:rPr>
              <w:t>std. Error of</w:t>
            </w:r>
            <w:r w:rsidRPr="00385E8D">
              <w:rPr>
                <w:rFonts w:ascii="Adobe Garamond Pro" w:eastAsia="Times New Roman" w:hAnsi="Adobe Garamond Pro" w:cs="Times New Roman"/>
                <w:color w:val="FFFFFF" w:themeColor="background1"/>
                <w:spacing w:val="-57"/>
                <w:sz w:val="18"/>
                <w:szCs w:val="18"/>
                <w:lang w:val="id"/>
              </w:rPr>
              <w:t xml:space="preserve"> </w:t>
            </w:r>
            <w:r w:rsidRPr="00385E8D">
              <w:rPr>
                <w:rFonts w:ascii="Adobe Garamond Pro" w:eastAsia="Times New Roman" w:hAnsi="Adobe Garamond Pro" w:cs="Times New Roman"/>
                <w:color w:val="FFFFFF" w:themeColor="background1"/>
                <w:sz w:val="18"/>
                <w:szCs w:val="18"/>
                <w:lang w:val="id"/>
              </w:rPr>
              <w:t>the</w:t>
            </w:r>
            <w:r w:rsidRPr="00385E8D">
              <w:rPr>
                <w:rFonts w:ascii="Adobe Garamond Pro" w:eastAsia="Times New Roman" w:hAnsi="Adobe Garamond Pro" w:cs="Times New Roman"/>
                <w:color w:val="FFFFFF" w:themeColor="background1"/>
                <w:spacing w:val="-5"/>
                <w:sz w:val="18"/>
                <w:szCs w:val="18"/>
                <w:lang w:val="id"/>
              </w:rPr>
              <w:t xml:space="preserve"> </w:t>
            </w:r>
            <w:r w:rsidRPr="00385E8D">
              <w:rPr>
                <w:rFonts w:ascii="Adobe Garamond Pro" w:eastAsia="Times New Roman" w:hAnsi="Adobe Garamond Pro" w:cs="Times New Roman"/>
                <w:color w:val="FFFFFF" w:themeColor="background1"/>
                <w:sz w:val="18"/>
                <w:szCs w:val="18"/>
                <w:lang w:val="id"/>
              </w:rPr>
              <w:t>Estimates</w:t>
            </w:r>
          </w:p>
        </w:tc>
        <w:tc>
          <w:tcPr>
            <w:tcW w:w="1514" w:type="dxa"/>
            <w:shd w:val="clear" w:color="auto" w:fill="7B3F00"/>
            <w:vAlign w:val="center"/>
          </w:tcPr>
          <w:p w14:paraId="58BC2C98" w14:textId="77777777" w:rsidR="00385E8D" w:rsidRPr="00385E8D" w:rsidRDefault="00385E8D" w:rsidP="004351BC">
            <w:pPr>
              <w:widowControl w:val="0"/>
              <w:autoSpaceDE w:val="0"/>
              <w:autoSpaceDN w:val="0"/>
              <w:spacing w:after="0" w:line="240" w:lineRule="auto"/>
              <w:ind w:left="373" w:right="332" w:hanging="10"/>
              <w:rPr>
                <w:rFonts w:ascii="Adobe Garamond Pro" w:eastAsia="Times New Roman" w:hAnsi="Adobe Garamond Pro" w:cs="Times New Roman"/>
                <w:color w:val="FFFFFF" w:themeColor="background1"/>
                <w:sz w:val="18"/>
                <w:szCs w:val="18"/>
                <w:lang w:val="id"/>
              </w:rPr>
            </w:pPr>
            <w:r w:rsidRPr="00385E8D">
              <w:rPr>
                <w:rFonts w:ascii="Adobe Garamond Pro" w:eastAsia="Times New Roman" w:hAnsi="Adobe Garamond Pro" w:cs="Times New Roman"/>
                <w:color w:val="FFFFFF" w:themeColor="background1"/>
                <w:spacing w:val="-1"/>
                <w:sz w:val="18"/>
                <w:szCs w:val="18"/>
                <w:lang w:val="id"/>
              </w:rPr>
              <w:t>Durbin-</w:t>
            </w:r>
            <w:r w:rsidRPr="00385E8D">
              <w:rPr>
                <w:rFonts w:ascii="Adobe Garamond Pro" w:eastAsia="Times New Roman" w:hAnsi="Adobe Garamond Pro" w:cs="Times New Roman"/>
                <w:color w:val="FFFFFF" w:themeColor="background1"/>
                <w:spacing w:val="-58"/>
                <w:sz w:val="18"/>
                <w:szCs w:val="18"/>
                <w:lang w:val="id"/>
              </w:rPr>
              <w:t xml:space="preserve"> </w:t>
            </w:r>
            <w:r w:rsidRPr="00385E8D">
              <w:rPr>
                <w:rFonts w:ascii="Adobe Garamond Pro" w:eastAsia="Times New Roman" w:hAnsi="Adobe Garamond Pro" w:cs="Times New Roman"/>
                <w:color w:val="FFFFFF" w:themeColor="background1"/>
                <w:sz w:val="18"/>
                <w:szCs w:val="18"/>
                <w:lang w:val="id"/>
              </w:rPr>
              <w:t>Watsons</w:t>
            </w:r>
          </w:p>
        </w:tc>
      </w:tr>
      <w:tr w:rsidR="004351BC" w:rsidRPr="00385E8D" w14:paraId="72B4660B" w14:textId="77777777" w:rsidTr="00385E8D">
        <w:tc>
          <w:tcPr>
            <w:tcW w:w="1461" w:type="dxa"/>
            <w:vAlign w:val="center"/>
          </w:tcPr>
          <w:p w14:paraId="192DCC94" w14:textId="603747D1" w:rsidR="004351BC" w:rsidRPr="00385E8D" w:rsidRDefault="004351BC" w:rsidP="00C6539B">
            <w:pPr>
              <w:widowControl w:val="0"/>
              <w:autoSpaceDE w:val="0"/>
              <w:autoSpaceDN w:val="0"/>
              <w:spacing w:after="0" w:line="240" w:lineRule="auto"/>
              <w:ind w:left="254" w:right="134"/>
              <w:jc w:val="right"/>
              <w:rPr>
                <w:rFonts w:ascii="Adobe Garamond Pro" w:eastAsia="Times New Roman" w:hAnsi="Adobe Garamond Pro" w:cs="Times New Roman"/>
                <w:sz w:val="18"/>
                <w:szCs w:val="18"/>
                <w:lang w:val="id"/>
              </w:rPr>
            </w:pPr>
            <w:r w:rsidRPr="00385E8D">
              <w:rPr>
                <w:rFonts w:ascii="Adobe Garamond Pro" w:eastAsia="Times New Roman" w:hAnsi="Adobe Garamond Pro" w:cs="Times New Roman"/>
                <w:color w:val="000104"/>
                <w:sz w:val="18"/>
                <w:szCs w:val="18"/>
                <w:lang w:val="id"/>
              </w:rPr>
              <w:t xml:space="preserve">,750 </w:t>
            </w:r>
            <w:r w:rsidRPr="00385E8D">
              <w:rPr>
                <w:rFonts w:ascii="Adobe Garamond Pro" w:eastAsia="Times New Roman" w:hAnsi="Adobe Garamond Pro" w:cs="Times New Roman"/>
                <w:color w:val="000104"/>
                <w:sz w:val="18"/>
                <w:szCs w:val="18"/>
                <w:vertAlign w:val="superscript"/>
                <w:lang w:val="id"/>
              </w:rPr>
              <w:t>a</w:t>
            </w:r>
          </w:p>
        </w:tc>
        <w:tc>
          <w:tcPr>
            <w:tcW w:w="904" w:type="dxa"/>
            <w:vAlign w:val="center"/>
          </w:tcPr>
          <w:p w14:paraId="0D0DF8C0" w14:textId="77777777" w:rsidR="004351BC" w:rsidRPr="00385E8D" w:rsidRDefault="004351BC" w:rsidP="00C6539B">
            <w:pPr>
              <w:widowControl w:val="0"/>
              <w:autoSpaceDE w:val="0"/>
              <w:autoSpaceDN w:val="0"/>
              <w:spacing w:after="0" w:line="240" w:lineRule="auto"/>
              <w:ind w:right="49"/>
              <w:jc w:val="right"/>
              <w:rPr>
                <w:rFonts w:ascii="Adobe Garamond Pro" w:eastAsia="Times New Roman" w:hAnsi="Adobe Garamond Pro" w:cs="Times New Roman"/>
                <w:sz w:val="18"/>
                <w:szCs w:val="18"/>
                <w:lang w:val="id"/>
              </w:rPr>
            </w:pPr>
            <w:r w:rsidRPr="00385E8D">
              <w:rPr>
                <w:rFonts w:ascii="Adobe Garamond Pro" w:eastAsia="Times New Roman" w:hAnsi="Adobe Garamond Pro" w:cs="Times New Roman"/>
                <w:color w:val="000104"/>
                <w:sz w:val="18"/>
                <w:szCs w:val="18"/>
                <w:lang w:val="id"/>
              </w:rPr>
              <w:t>,562</w:t>
            </w:r>
          </w:p>
        </w:tc>
        <w:tc>
          <w:tcPr>
            <w:tcW w:w="1812" w:type="dxa"/>
            <w:vAlign w:val="center"/>
          </w:tcPr>
          <w:p w14:paraId="6C0C8CF4" w14:textId="77777777" w:rsidR="004351BC" w:rsidRPr="00385E8D" w:rsidRDefault="004351BC" w:rsidP="004351BC">
            <w:pPr>
              <w:widowControl w:val="0"/>
              <w:autoSpaceDE w:val="0"/>
              <w:autoSpaceDN w:val="0"/>
              <w:spacing w:after="0" w:line="240" w:lineRule="auto"/>
              <w:ind w:right="48"/>
              <w:jc w:val="right"/>
              <w:rPr>
                <w:rFonts w:ascii="Adobe Garamond Pro" w:eastAsia="Times New Roman" w:hAnsi="Adobe Garamond Pro" w:cs="Times New Roman"/>
                <w:sz w:val="18"/>
                <w:szCs w:val="18"/>
                <w:lang w:val="id"/>
              </w:rPr>
            </w:pPr>
            <w:r w:rsidRPr="00385E8D">
              <w:rPr>
                <w:rFonts w:ascii="Adobe Garamond Pro" w:eastAsia="Times New Roman" w:hAnsi="Adobe Garamond Pro" w:cs="Times New Roman"/>
                <w:color w:val="000104"/>
                <w:sz w:val="18"/>
                <w:szCs w:val="18"/>
                <w:lang w:val="id"/>
              </w:rPr>
              <w:t>,548</w:t>
            </w:r>
          </w:p>
        </w:tc>
        <w:tc>
          <w:tcPr>
            <w:tcW w:w="2103" w:type="dxa"/>
            <w:vAlign w:val="center"/>
          </w:tcPr>
          <w:p w14:paraId="3888571D" w14:textId="77777777" w:rsidR="004351BC" w:rsidRPr="00385E8D" w:rsidRDefault="004351BC" w:rsidP="004351BC">
            <w:pPr>
              <w:widowControl w:val="0"/>
              <w:autoSpaceDE w:val="0"/>
              <w:autoSpaceDN w:val="0"/>
              <w:spacing w:after="0" w:line="240" w:lineRule="auto"/>
              <w:ind w:left="742"/>
              <w:rPr>
                <w:rFonts w:ascii="Adobe Garamond Pro" w:eastAsia="Times New Roman" w:hAnsi="Adobe Garamond Pro" w:cs="Times New Roman"/>
                <w:sz w:val="18"/>
                <w:szCs w:val="18"/>
                <w:lang w:val="id"/>
              </w:rPr>
            </w:pPr>
            <w:r w:rsidRPr="00385E8D">
              <w:rPr>
                <w:rFonts w:ascii="Adobe Garamond Pro" w:eastAsia="Times New Roman" w:hAnsi="Adobe Garamond Pro" w:cs="Times New Roman"/>
                <w:color w:val="000104"/>
                <w:sz w:val="18"/>
                <w:szCs w:val="18"/>
                <w:lang w:val="id"/>
              </w:rPr>
              <w:t>,68299</w:t>
            </w:r>
          </w:p>
        </w:tc>
        <w:tc>
          <w:tcPr>
            <w:tcW w:w="1514" w:type="dxa"/>
            <w:vAlign w:val="center"/>
          </w:tcPr>
          <w:p w14:paraId="6182D1B8" w14:textId="77777777" w:rsidR="004351BC" w:rsidRPr="00385E8D" w:rsidRDefault="004351BC" w:rsidP="004351BC">
            <w:pPr>
              <w:widowControl w:val="0"/>
              <w:autoSpaceDE w:val="0"/>
              <w:autoSpaceDN w:val="0"/>
              <w:spacing w:after="0" w:line="240" w:lineRule="auto"/>
              <w:ind w:left="877"/>
              <w:rPr>
                <w:rFonts w:ascii="Adobe Garamond Pro" w:eastAsia="Times New Roman" w:hAnsi="Adobe Garamond Pro" w:cs="Times New Roman"/>
                <w:sz w:val="18"/>
                <w:szCs w:val="18"/>
                <w:lang w:val="id"/>
              </w:rPr>
            </w:pPr>
            <w:r w:rsidRPr="00385E8D">
              <w:rPr>
                <w:rFonts w:ascii="Adobe Garamond Pro" w:eastAsia="Times New Roman" w:hAnsi="Adobe Garamond Pro" w:cs="Times New Roman"/>
                <w:color w:val="000104"/>
                <w:sz w:val="18"/>
                <w:szCs w:val="18"/>
                <w:lang w:val="id"/>
              </w:rPr>
              <w:t>2,421</w:t>
            </w:r>
          </w:p>
        </w:tc>
      </w:tr>
    </w:tbl>
    <w:p w14:paraId="5EEB718C" w14:textId="77777777" w:rsidR="009B6760" w:rsidRDefault="009B6760" w:rsidP="009B6760">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3BA0DBB9" w14:textId="6984FF49" w:rsidR="009B6760" w:rsidRDefault="009B6760" w:rsidP="003E63A7">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In the table above we can see that the R</w:t>
      </w:r>
      <w:r w:rsidRPr="00C6539B">
        <w:rPr>
          <w:rFonts w:ascii="EB Garamond" w:eastAsia="EB Garamond" w:hAnsi="EB Garamond" w:cs="EB Garamond"/>
          <w:color w:val="000000"/>
          <w:sz w:val="20"/>
          <w:szCs w:val="20"/>
          <w:vertAlign w:val="superscript"/>
        </w:rPr>
        <w:t>2</w:t>
      </w:r>
      <w:r w:rsidRPr="009B6760">
        <w:rPr>
          <w:rFonts w:ascii="EB Garamond" w:eastAsia="EB Garamond" w:hAnsi="EB Garamond" w:cs="EB Garamond"/>
          <w:color w:val="000000"/>
          <w:sz w:val="20"/>
          <w:szCs w:val="20"/>
        </w:rPr>
        <w:t xml:space="preserve"> (R</w:t>
      </w:r>
      <w:r w:rsidR="00C6539B">
        <w:rPr>
          <w:rFonts w:ascii="EB Garamond" w:eastAsia="EB Garamond" w:hAnsi="EB Garamond" w:cs="EB Garamond"/>
          <w:color w:val="000000"/>
          <w:sz w:val="20"/>
          <w:szCs w:val="20"/>
        </w:rPr>
        <w:t>-</w:t>
      </w:r>
      <w:r w:rsidRPr="009B6760">
        <w:rPr>
          <w:rFonts w:ascii="EB Garamond" w:eastAsia="EB Garamond" w:hAnsi="EB Garamond" w:cs="EB Garamond"/>
          <w:color w:val="000000"/>
          <w:sz w:val="20"/>
          <w:szCs w:val="20"/>
        </w:rPr>
        <w:t xml:space="preserve">square) figure is 0.562 or 56.2%. This shows that the percentage of the influence of the independent variables (Assets, </w:t>
      </w:r>
      <w:r w:rsidR="004351BC" w:rsidRPr="009B6760">
        <w:rPr>
          <w:rFonts w:ascii="EB Garamond" w:eastAsia="EB Garamond" w:hAnsi="EB Garamond" w:cs="EB Garamond"/>
          <w:color w:val="000000"/>
          <w:sz w:val="20"/>
          <w:szCs w:val="20"/>
        </w:rPr>
        <w:t>Collateral,</w:t>
      </w:r>
      <w:r w:rsidRPr="009B6760">
        <w:rPr>
          <w:rFonts w:ascii="EB Garamond" w:eastAsia="EB Garamond" w:hAnsi="EB Garamond" w:cs="EB Garamond"/>
          <w:color w:val="000000"/>
          <w:sz w:val="20"/>
          <w:szCs w:val="20"/>
        </w:rPr>
        <w:t xml:space="preserve"> and Interest Rates) on the dependent variable (Customer credit decisions) is 56.2%. Or the variation of the independent variables (Assets, Guarantees and Interest Rates) </w:t>
      </w:r>
      <w:r w:rsidR="004351BC" w:rsidRPr="009B6760">
        <w:rPr>
          <w:rFonts w:ascii="EB Garamond" w:eastAsia="EB Garamond" w:hAnsi="EB Garamond" w:cs="EB Garamond"/>
          <w:color w:val="000000"/>
          <w:sz w:val="20"/>
          <w:szCs w:val="20"/>
        </w:rPr>
        <w:t>can</w:t>
      </w:r>
      <w:r w:rsidRPr="009B6760">
        <w:rPr>
          <w:rFonts w:ascii="EB Garamond" w:eastAsia="EB Garamond" w:hAnsi="EB Garamond" w:cs="EB Garamond"/>
          <w:color w:val="000000"/>
          <w:sz w:val="20"/>
          <w:szCs w:val="20"/>
        </w:rPr>
        <w:t xml:space="preserve"> explain 56.2% of the variation in the customer's credit decision variable. While the remaining 43.8% </w:t>
      </w:r>
      <w:r w:rsidR="004351BC" w:rsidRPr="009B6760">
        <w:rPr>
          <w:rFonts w:ascii="EB Garamond" w:eastAsia="EB Garamond" w:hAnsi="EB Garamond" w:cs="EB Garamond"/>
          <w:color w:val="000000"/>
          <w:sz w:val="20"/>
          <w:szCs w:val="20"/>
        </w:rPr>
        <w:t>are</w:t>
      </w:r>
      <w:r w:rsidRPr="009B6760">
        <w:rPr>
          <w:rFonts w:ascii="EB Garamond" w:eastAsia="EB Garamond" w:hAnsi="EB Garamond" w:cs="EB Garamond"/>
          <w:color w:val="000000"/>
          <w:sz w:val="20"/>
          <w:szCs w:val="20"/>
        </w:rPr>
        <w:t xml:space="preserve"> influenced by or explained by other variables not included in this study.</w:t>
      </w:r>
    </w:p>
    <w:p w14:paraId="49276907" w14:textId="77777777" w:rsidR="00C6539B" w:rsidRDefault="00C6539B" w:rsidP="003E63A7">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695A3D57" w14:textId="77777777" w:rsidR="003E63A7" w:rsidRDefault="003E63A7" w:rsidP="003E63A7">
      <w:pPr>
        <w:pBdr>
          <w:top w:val="nil"/>
          <w:left w:val="nil"/>
          <w:bottom w:val="nil"/>
          <w:right w:val="nil"/>
          <w:between w:val="nil"/>
        </w:pBdr>
        <w:spacing w:after="0" w:line="240" w:lineRule="auto"/>
        <w:ind w:left="1276"/>
        <w:jc w:val="both"/>
        <w:rPr>
          <w:rFonts w:ascii="EB Garamond" w:eastAsia="EB Garamond" w:hAnsi="EB Garamond" w:cs="EB Garamond"/>
          <w:b/>
          <w:bCs/>
          <w:color w:val="000000"/>
          <w:sz w:val="20"/>
          <w:szCs w:val="20"/>
        </w:rPr>
      </w:pPr>
      <w:r w:rsidRPr="00E86236">
        <w:rPr>
          <w:rFonts w:ascii="EB Garamond" w:eastAsia="EB Garamond" w:hAnsi="EB Garamond" w:cs="EB Garamond"/>
          <w:b/>
          <w:bCs/>
          <w:color w:val="000000"/>
          <w:sz w:val="20"/>
          <w:szCs w:val="20"/>
        </w:rPr>
        <w:t>Discussion</w:t>
      </w:r>
    </w:p>
    <w:p w14:paraId="7518D171" w14:textId="77777777" w:rsidR="00C6539B" w:rsidRPr="00E86236" w:rsidRDefault="00C6539B" w:rsidP="003E63A7">
      <w:pPr>
        <w:pBdr>
          <w:top w:val="nil"/>
          <w:left w:val="nil"/>
          <w:bottom w:val="nil"/>
          <w:right w:val="nil"/>
          <w:between w:val="nil"/>
        </w:pBdr>
        <w:spacing w:after="0" w:line="240" w:lineRule="auto"/>
        <w:ind w:left="1276"/>
        <w:jc w:val="both"/>
        <w:rPr>
          <w:rFonts w:ascii="EB Garamond" w:eastAsia="EB Garamond" w:hAnsi="EB Garamond" w:cs="EB Garamond"/>
          <w:b/>
          <w:bCs/>
          <w:color w:val="000000"/>
          <w:sz w:val="20"/>
          <w:szCs w:val="20"/>
        </w:rPr>
      </w:pPr>
    </w:p>
    <w:p w14:paraId="67B2C536" w14:textId="5427CB52" w:rsidR="00C6539B" w:rsidRPr="00C6539B" w:rsidRDefault="009B6760" w:rsidP="00C6539B">
      <w:pPr>
        <w:spacing w:after="0" w:line="240" w:lineRule="auto"/>
        <w:ind w:left="556" w:firstLine="720"/>
        <w:jc w:val="both"/>
        <w:rPr>
          <w:rFonts w:ascii="EB Garamond" w:eastAsia="EB Garamond" w:hAnsi="EB Garamond" w:cs="EB Garamond"/>
          <w:i/>
          <w:iCs/>
          <w:color w:val="000000"/>
          <w:sz w:val="20"/>
          <w:szCs w:val="20"/>
        </w:rPr>
      </w:pPr>
      <w:r w:rsidRPr="00C6539B">
        <w:rPr>
          <w:rFonts w:ascii="EB Garamond" w:eastAsia="EB Garamond" w:hAnsi="EB Garamond" w:cs="EB Garamond"/>
          <w:i/>
          <w:iCs/>
          <w:color w:val="000000"/>
          <w:sz w:val="20"/>
          <w:szCs w:val="20"/>
        </w:rPr>
        <w:t>The Influence of Assets on Customer Credit Decisions at Bank SULSELBAR Majene Branch</w:t>
      </w:r>
    </w:p>
    <w:p w14:paraId="13684585" w14:textId="6013DAEC" w:rsidR="009B6760" w:rsidRPr="009B6760" w:rsidRDefault="009B6760" w:rsidP="00C6539B">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 xml:space="preserve">According to Wahyuni, et al (2020: 1) assets are anything that has economic value that can be owned by individuals, companies, or owned by the government that can be assessed financially. Whereas in Government Regulation Number 71 of 2010 concerning Government Accounting Standards (SAP), assets are defined as economic resources controlled or owned by the government as a result of past events and from which future economic or social benefits are expected to be obtained, either by government and society, and can be measured in terms of money, including non-financial resources needed to provide services to the general public and resources preserved for historical and cultural reasons. The results of this study indicate that the asset variable has a positive and significant effect on customer credit decisions. This can be proven by looking at the results of the individual parameter significance test (t test) obtained a significance of 0.021 which is less than 0.05 and the calculated t value is greater than t table, namely 2.337 &gt; 1.984 and the regression coefficient is positive, namely 0.120. This proves that the level of the customer's assets when applying for credit will affect his decision in applying for the credit. Because the reasons for </w:t>
      </w:r>
      <w:r w:rsidR="004351BC" w:rsidRPr="009B6760">
        <w:rPr>
          <w:rFonts w:ascii="EB Garamond" w:eastAsia="EB Garamond" w:hAnsi="EB Garamond" w:cs="EB Garamond"/>
          <w:color w:val="000000"/>
          <w:sz w:val="20"/>
          <w:szCs w:val="20"/>
        </w:rPr>
        <w:t>customers</w:t>
      </w:r>
      <w:r w:rsidRPr="009B6760">
        <w:rPr>
          <w:rFonts w:ascii="EB Garamond" w:eastAsia="EB Garamond" w:hAnsi="EB Garamond" w:cs="EB Garamond"/>
          <w:color w:val="000000"/>
          <w:sz w:val="20"/>
          <w:szCs w:val="20"/>
        </w:rPr>
        <w:t xml:space="preserve"> applying for credit are mostly to increase the number of assets owned to maintain the smooth running of their business. This research is in line with </w:t>
      </w:r>
      <w:r w:rsidRPr="009B6760">
        <w:rPr>
          <w:rFonts w:ascii="EB Garamond" w:eastAsia="EB Garamond" w:hAnsi="EB Garamond" w:cs="EB Garamond"/>
          <w:color w:val="000000"/>
          <w:sz w:val="20"/>
          <w:szCs w:val="20"/>
        </w:rPr>
        <w:lastRenderedPageBreak/>
        <w:t>research conducted by Nikita Desi Anggraeni (2015), where the results of the study stated that the asset variable had a positive and significant effect on customers' decisions in submitting credit requests to the bank.</w:t>
      </w:r>
    </w:p>
    <w:p w14:paraId="223FCD18" w14:textId="77777777" w:rsidR="009B6760" w:rsidRPr="009B6760" w:rsidRDefault="009B6760" w:rsidP="009B6760">
      <w:pPr>
        <w:spacing w:after="0" w:line="240" w:lineRule="auto"/>
        <w:ind w:left="2410"/>
        <w:jc w:val="both"/>
        <w:rPr>
          <w:rFonts w:ascii="EB Garamond" w:eastAsia="EB Garamond" w:hAnsi="EB Garamond" w:cs="EB Garamond"/>
          <w:color w:val="000000"/>
          <w:sz w:val="20"/>
          <w:szCs w:val="20"/>
        </w:rPr>
      </w:pPr>
    </w:p>
    <w:p w14:paraId="04ABDA07" w14:textId="77777777" w:rsidR="009B6760" w:rsidRPr="00C6539B" w:rsidRDefault="009B6760" w:rsidP="00C6539B">
      <w:pPr>
        <w:spacing w:after="0" w:line="240" w:lineRule="auto"/>
        <w:ind w:left="556" w:firstLine="720"/>
        <w:jc w:val="both"/>
        <w:rPr>
          <w:rFonts w:ascii="EB Garamond" w:eastAsia="EB Garamond" w:hAnsi="EB Garamond" w:cs="EB Garamond"/>
          <w:i/>
          <w:iCs/>
          <w:color w:val="000000"/>
          <w:sz w:val="20"/>
          <w:szCs w:val="20"/>
        </w:rPr>
      </w:pPr>
      <w:r w:rsidRPr="00C6539B">
        <w:rPr>
          <w:rFonts w:ascii="EB Garamond" w:eastAsia="EB Garamond" w:hAnsi="EB Garamond" w:cs="EB Garamond"/>
          <w:i/>
          <w:iCs/>
          <w:color w:val="000000"/>
          <w:sz w:val="20"/>
          <w:szCs w:val="20"/>
        </w:rPr>
        <w:t>The Influence of Credit Guarantees on Customer Credit Decisions at Bank SULSELBAR Majene Branch</w:t>
      </w:r>
    </w:p>
    <w:p w14:paraId="4FD7FCE2" w14:textId="4F71055D" w:rsidR="009B6760" w:rsidRPr="009B6760" w:rsidRDefault="009B6760" w:rsidP="00C6539B">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 xml:space="preserve">According to Hartono (2020: 6), credit guarantees are the main guarantees that are intangible, namely guarantees in the form of bank "confidence" in the debtor's "good faith" to pay off their debts according to the agreement, while credit collateral is additional guarantees which are generally physical </w:t>
      </w:r>
      <w:r w:rsidR="004351BC" w:rsidRPr="009B6760">
        <w:rPr>
          <w:rFonts w:ascii="EB Garamond" w:eastAsia="EB Garamond" w:hAnsi="EB Garamond" w:cs="EB Garamond"/>
          <w:color w:val="000000"/>
          <w:sz w:val="20"/>
          <w:szCs w:val="20"/>
        </w:rPr>
        <w:t>(for</w:t>
      </w:r>
      <w:r w:rsidRPr="009B6760">
        <w:rPr>
          <w:rFonts w:ascii="EB Garamond" w:eastAsia="EB Garamond" w:hAnsi="EB Garamond" w:cs="EB Garamond"/>
          <w:color w:val="000000"/>
          <w:sz w:val="20"/>
          <w:szCs w:val="20"/>
        </w:rPr>
        <w:t xml:space="preserve"> example houses, </w:t>
      </w:r>
      <w:r w:rsidR="00C6539B" w:rsidRPr="009B6760">
        <w:rPr>
          <w:rFonts w:ascii="EB Garamond" w:eastAsia="EB Garamond" w:hAnsi="EB Garamond" w:cs="EB Garamond"/>
          <w:color w:val="000000"/>
          <w:sz w:val="20"/>
          <w:szCs w:val="20"/>
        </w:rPr>
        <w:t>land,</w:t>
      </w:r>
      <w:r w:rsidRPr="009B6760">
        <w:rPr>
          <w:rFonts w:ascii="EB Garamond" w:eastAsia="EB Garamond" w:hAnsi="EB Garamond" w:cs="EB Garamond"/>
          <w:color w:val="000000"/>
          <w:sz w:val="20"/>
          <w:szCs w:val="20"/>
        </w:rPr>
        <w:t xml:space="preserve"> cars, </w:t>
      </w:r>
      <w:r w:rsidR="00C6539B" w:rsidRPr="009B6760">
        <w:rPr>
          <w:rFonts w:ascii="EB Garamond" w:eastAsia="EB Garamond" w:hAnsi="EB Garamond" w:cs="EB Garamond"/>
          <w:color w:val="000000"/>
          <w:sz w:val="20"/>
          <w:szCs w:val="20"/>
        </w:rPr>
        <w:t>securities,</w:t>
      </w:r>
      <w:r w:rsidRPr="009B6760">
        <w:rPr>
          <w:rFonts w:ascii="EB Garamond" w:eastAsia="EB Garamond" w:hAnsi="EB Garamond" w:cs="EB Garamond"/>
          <w:color w:val="000000"/>
          <w:sz w:val="20"/>
          <w:szCs w:val="20"/>
        </w:rPr>
        <w:t xml:space="preserve"> and others) reserved for debt repayment. Credit collateral consists of principal collateral and additional collateral. Meanwhile, according to Supramono, (2009: 196) defines credit guarantees as an agreement between the creditor and the debtor, where the debtor promises </w:t>
      </w:r>
      <w:r w:rsidR="004351BC" w:rsidRPr="009B6760">
        <w:rPr>
          <w:rFonts w:ascii="EB Garamond" w:eastAsia="EB Garamond" w:hAnsi="EB Garamond" w:cs="EB Garamond"/>
          <w:color w:val="000000"/>
          <w:sz w:val="20"/>
          <w:szCs w:val="20"/>
        </w:rPr>
        <w:t>several of</w:t>
      </w:r>
      <w:r w:rsidRPr="009B6760">
        <w:rPr>
          <w:rFonts w:ascii="EB Garamond" w:eastAsia="EB Garamond" w:hAnsi="EB Garamond" w:cs="EB Garamond"/>
          <w:color w:val="000000"/>
          <w:sz w:val="20"/>
          <w:szCs w:val="20"/>
        </w:rPr>
        <w:t xml:space="preserve"> his assets for the purpose of repayment of debt according to the provisions of the applicable laws and regulations, if within the specified time there is a delay in paying the debtor's debt. The results of this study indicate that the variable Credit Guarantee has a positive and significant effect on customer credit decisions. This can be proven by looking at the results of the individual parameter significance test (t test) obtained a significance of 0.048 which is less than 0.05 and the calculated t value is greater than t table, namely 1.999 &gt; 1.984 and the regression coefficient is positive, namely 0.192. This shows that the total credit that can be received by customers is largely determined by the amount of collateral </w:t>
      </w:r>
      <w:r w:rsidR="004351BC" w:rsidRPr="009B6760">
        <w:rPr>
          <w:rFonts w:ascii="EB Garamond" w:eastAsia="EB Garamond" w:hAnsi="EB Garamond" w:cs="EB Garamond"/>
          <w:color w:val="000000"/>
          <w:sz w:val="20"/>
          <w:szCs w:val="20"/>
        </w:rPr>
        <w:t>submitted.</w:t>
      </w:r>
      <w:r w:rsidRPr="009B6760">
        <w:rPr>
          <w:rFonts w:ascii="EB Garamond" w:eastAsia="EB Garamond" w:hAnsi="EB Garamond" w:cs="EB Garamond"/>
          <w:color w:val="000000"/>
          <w:sz w:val="20"/>
          <w:szCs w:val="20"/>
        </w:rPr>
        <w:t xml:space="preserve"> The amount of collateral for KUR loans is different from credit in general, where the general type of credit is a minimum guarantee of 110% of the total loan, while it is 30% for KUR loans. Therefore, the amount of collateral will affect the amount of credit received. This research is in line with research conducted by Ervina Aldan Nandifah (2020) which suggests that credit guarantees have a positive effect on the decisions of MSME actors in taking credit. Submission of guarantees by credit customers to banks is a form of trust in these banks.</w:t>
      </w:r>
    </w:p>
    <w:p w14:paraId="2C0D48BD" w14:textId="77777777" w:rsidR="009B6760" w:rsidRPr="009B6760" w:rsidRDefault="009B6760" w:rsidP="009B6760">
      <w:pPr>
        <w:spacing w:after="0" w:line="240" w:lineRule="auto"/>
        <w:ind w:left="2410"/>
        <w:jc w:val="both"/>
        <w:rPr>
          <w:rFonts w:ascii="EB Garamond" w:eastAsia="EB Garamond" w:hAnsi="EB Garamond" w:cs="EB Garamond"/>
          <w:color w:val="000000"/>
          <w:sz w:val="20"/>
          <w:szCs w:val="20"/>
        </w:rPr>
      </w:pPr>
    </w:p>
    <w:p w14:paraId="14AC3DF3" w14:textId="77777777" w:rsidR="009B6760" w:rsidRPr="009B6760" w:rsidRDefault="009B6760" w:rsidP="00C6539B">
      <w:pPr>
        <w:spacing w:after="0" w:line="240" w:lineRule="auto"/>
        <w:ind w:left="556" w:firstLine="720"/>
        <w:jc w:val="both"/>
        <w:rPr>
          <w:rFonts w:ascii="EB Garamond" w:eastAsia="EB Garamond" w:hAnsi="EB Garamond" w:cs="EB Garamond"/>
          <w:color w:val="000000"/>
          <w:sz w:val="20"/>
          <w:szCs w:val="20"/>
        </w:rPr>
      </w:pPr>
      <w:r w:rsidRPr="00C6539B">
        <w:rPr>
          <w:rFonts w:ascii="EB Garamond" w:eastAsia="EB Garamond" w:hAnsi="EB Garamond" w:cs="EB Garamond"/>
          <w:i/>
          <w:iCs/>
          <w:color w:val="000000"/>
          <w:sz w:val="20"/>
          <w:szCs w:val="20"/>
        </w:rPr>
        <w:t>The Influence of Interest Rates on Customer Credit Decisions at Bank SULSELBAR Majene Branch</w:t>
      </w:r>
    </w:p>
    <w:p w14:paraId="2E3AE449" w14:textId="26F34CD8" w:rsidR="009B6760" w:rsidRPr="009B6760" w:rsidRDefault="009B6760" w:rsidP="00C6539B">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According to Kasmir (2009: 58) the interest rate for the seller (for example deposits) is the price paid and the price received (must be paid) by the buyer for the loan recipient. This price is an advantage for the owner of capital. As for the buyer (loan recipient)</w:t>
      </w:r>
      <w:r w:rsidR="004351BC" w:rsidRPr="009B6760">
        <w:rPr>
          <w:rFonts w:ascii="EB Garamond" w:eastAsia="EB Garamond" w:hAnsi="EB Garamond" w:cs="EB Garamond"/>
          <w:color w:val="000000"/>
          <w:sz w:val="20"/>
          <w:szCs w:val="20"/>
        </w:rPr>
        <w:t>, interest</w:t>
      </w:r>
      <w:r w:rsidRPr="009B6760">
        <w:rPr>
          <w:rFonts w:ascii="EB Garamond" w:eastAsia="EB Garamond" w:hAnsi="EB Garamond" w:cs="EB Garamond"/>
          <w:color w:val="000000"/>
          <w:sz w:val="20"/>
          <w:szCs w:val="20"/>
        </w:rPr>
        <w:t xml:space="preserve"> is the price that must be paid to obtain the capital. We then call this price the cost of </w:t>
      </w:r>
      <w:r w:rsidR="004351BC" w:rsidRPr="009B6760">
        <w:rPr>
          <w:rFonts w:ascii="EB Garamond" w:eastAsia="EB Garamond" w:hAnsi="EB Garamond" w:cs="EB Garamond"/>
          <w:color w:val="000000"/>
          <w:sz w:val="20"/>
          <w:szCs w:val="20"/>
        </w:rPr>
        <w:t>capital,</w:t>
      </w:r>
      <w:r w:rsidRPr="009B6760">
        <w:rPr>
          <w:rFonts w:ascii="EB Garamond" w:eastAsia="EB Garamond" w:hAnsi="EB Garamond" w:cs="EB Garamond"/>
          <w:color w:val="000000"/>
          <w:sz w:val="20"/>
          <w:szCs w:val="20"/>
        </w:rPr>
        <w:t xml:space="preserve"> which is the buyer's burden that must be paid together with the capital obtained at maturity, or in other words the interest rate. Meanwhile, according to Ismanto, et al (2019: 23) interest is the amount of money received for the money that has been lent, while the interest rate is the ratio (percentage) charged to the amount of the loan that generates interest. The results of this study indicate that the interest rate has a positive and significant effect on customer credit decisions. This can be proven by looking at the results of the individual parameter significance test (t</w:t>
      </w:r>
      <w:r w:rsidR="00C6539B">
        <w:rPr>
          <w:rFonts w:ascii="EB Garamond" w:eastAsia="EB Garamond" w:hAnsi="EB Garamond" w:cs="EB Garamond"/>
          <w:color w:val="000000"/>
          <w:sz w:val="20"/>
          <w:szCs w:val="20"/>
        </w:rPr>
        <w:t>-</w:t>
      </w:r>
      <w:r w:rsidRPr="009B6760">
        <w:rPr>
          <w:rFonts w:ascii="EB Garamond" w:eastAsia="EB Garamond" w:hAnsi="EB Garamond" w:cs="EB Garamond"/>
          <w:color w:val="000000"/>
          <w:sz w:val="20"/>
          <w:szCs w:val="20"/>
        </w:rPr>
        <w:t>test) obtained a significance of 0.000 which is less than 0.05 and the calculated t value is greater than t table, namely 3.648 &gt; 1.984 and the regression coefficient is positive, namely 0.390.</w:t>
      </w:r>
      <w:r w:rsidR="00C6539B">
        <w:rPr>
          <w:rFonts w:ascii="EB Garamond" w:eastAsia="EB Garamond" w:hAnsi="EB Garamond" w:cs="EB Garamond"/>
          <w:color w:val="000000"/>
          <w:sz w:val="20"/>
          <w:szCs w:val="20"/>
        </w:rPr>
        <w:t xml:space="preserve"> </w:t>
      </w:r>
      <w:r w:rsidRPr="009B6760">
        <w:rPr>
          <w:rFonts w:ascii="EB Garamond" w:eastAsia="EB Garamond" w:hAnsi="EB Garamond" w:cs="EB Garamond"/>
          <w:color w:val="000000"/>
          <w:sz w:val="20"/>
          <w:szCs w:val="20"/>
        </w:rPr>
        <w:t>This research is in line with research conducted by Ervina Aldan Nandifah (2020) who obtained research results that there was a positive and significant influence between the interest rate variable on the credit decisions of MSME players in taking credit at the BRI Keling Jepara unit.</w:t>
      </w:r>
    </w:p>
    <w:p w14:paraId="24549512" w14:textId="77777777" w:rsidR="009B6760" w:rsidRPr="009B6760" w:rsidRDefault="009B6760" w:rsidP="009B6760">
      <w:pPr>
        <w:spacing w:after="0" w:line="240" w:lineRule="auto"/>
        <w:ind w:left="2410"/>
        <w:jc w:val="both"/>
        <w:rPr>
          <w:rFonts w:ascii="EB Garamond" w:eastAsia="EB Garamond" w:hAnsi="EB Garamond" w:cs="EB Garamond"/>
          <w:color w:val="000000"/>
          <w:sz w:val="20"/>
          <w:szCs w:val="20"/>
        </w:rPr>
      </w:pPr>
    </w:p>
    <w:p w14:paraId="5BE79121" w14:textId="069CD395" w:rsidR="009B6760" w:rsidRPr="00C6539B" w:rsidRDefault="009B6760" w:rsidP="00C6539B">
      <w:pPr>
        <w:spacing w:after="0" w:line="240" w:lineRule="auto"/>
        <w:ind w:left="1276"/>
        <w:jc w:val="both"/>
        <w:rPr>
          <w:rFonts w:ascii="EB Garamond" w:eastAsia="EB Garamond" w:hAnsi="EB Garamond" w:cs="EB Garamond"/>
          <w:i/>
          <w:iCs/>
          <w:color w:val="000000"/>
          <w:sz w:val="20"/>
          <w:szCs w:val="20"/>
        </w:rPr>
      </w:pPr>
      <w:r w:rsidRPr="00C6539B">
        <w:rPr>
          <w:rFonts w:ascii="EB Garamond" w:eastAsia="EB Garamond" w:hAnsi="EB Garamond" w:cs="EB Garamond"/>
          <w:i/>
          <w:iCs/>
          <w:color w:val="000000"/>
          <w:sz w:val="20"/>
          <w:szCs w:val="20"/>
        </w:rPr>
        <w:t xml:space="preserve">The Influence of Assets, Credit </w:t>
      </w:r>
      <w:r w:rsidR="004351BC" w:rsidRPr="00C6539B">
        <w:rPr>
          <w:rFonts w:ascii="EB Garamond" w:eastAsia="EB Garamond" w:hAnsi="EB Garamond" w:cs="EB Garamond"/>
          <w:i/>
          <w:iCs/>
          <w:color w:val="000000"/>
          <w:sz w:val="20"/>
          <w:szCs w:val="20"/>
        </w:rPr>
        <w:t>Guarantees,</w:t>
      </w:r>
      <w:r w:rsidRPr="00C6539B">
        <w:rPr>
          <w:rFonts w:ascii="EB Garamond" w:eastAsia="EB Garamond" w:hAnsi="EB Garamond" w:cs="EB Garamond"/>
          <w:i/>
          <w:iCs/>
          <w:color w:val="000000"/>
          <w:sz w:val="20"/>
          <w:szCs w:val="20"/>
        </w:rPr>
        <w:t xml:space="preserve"> and Interest Rates on Customer Credit Decisions at Bank SULSELBAR Majene Branch</w:t>
      </w:r>
    </w:p>
    <w:p w14:paraId="64695A41" w14:textId="752276EA" w:rsidR="009B6760" w:rsidRPr="009B6760" w:rsidRDefault="009B6760" w:rsidP="00C6539B">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9B6760">
        <w:rPr>
          <w:rFonts w:ascii="EB Garamond" w:eastAsia="EB Garamond" w:hAnsi="EB Garamond" w:cs="EB Garamond"/>
          <w:color w:val="000000"/>
          <w:sz w:val="20"/>
          <w:szCs w:val="20"/>
        </w:rPr>
        <w:t>The results of this study can be seen by looking at the calculated F value of 40.084 while the F table value with df1 = k-1(4-1=3), df2 = nk (100-4= 96), then the F table value is 2.70. Because the calculated F value is greater than the F table, namely 41.060&gt; 2.70, then H4 is accepted. In addition, it is reinforced by a p value that is smaller than the significance level, namely 0.000 &lt;0.05. So, it can be concluded that assets, guarantees and interest rates simultaneously have a positive and significant effect on customer credit decisions at Bank SULSELBAR Majene Branch.</w:t>
      </w:r>
      <w:r w:rsidR="00C6539B">
        <w:rPr>
          <w:rFonts w:ascii="EB Garamond" w:eastAsia="EB Garamond" w:hAnsi="EB Garamond" w:cs="EB Garamond"/>
          <w:color w:val="000000"/>
          <w:sz w:val="20"/>
          <w:szCs w:val="20"/>
        </w:rPr>
        <w:t xml:space="preserve"> </w:t>
      </w:r>
      <w:r w:rsidRPr="009B6760">
        <w:rPr>
          <w:rFonts w:ascii="EB Garamond" w:eastAsia="EB Garamond" w:hAnsi="EB Garamond" w:cs="EB Garamond"/>
          <w:color w:val="000000"/>
          <w:sz w:val="20"/>
          <w:szCs w:val="20"/>
        </w:rPr>
        <w:t xml:space="preserve">This is not in accordance with the opinion put forward by Sinungan (2003:93), that the size of the demand for working capital credit greatly influences the interest rate. </w:t>
      </w:r>
      <w:r w:rsidR="004351BC" w:rsidRPr="009B6760">
        <w:rPr>
          <w:rFonts w:ascii="EB Garamond" w:eastAsia="EB Garamond" w:hAnsi="EB Garamond" w:cs="EB Garamond"/>
          <w:color w:val="000000"/>
          <w:sz w:val="20"/>
          <w:szCs w:val="20"/>
        </w:rPr>
        <w:t>If</w:t>
      </w:r>
      <w:r w:rsidRPr="009B6760">
        <w:rPr>
          <w:rFonts w:ascii="EB Garamond" w:eastAsia="EB Garamond" w:hAnsi="EB Garamond" w:cs="EB Garamond"/>
          <w:color w:val="000000"/>
          <w:sz w:val="20"/>
          <w:szCs w:val="20"/>
        </w:rPr>
        <w:t xml:space="preserve"> interest rates are high, then the number of customers who wish to apply for working capital loans will decrease. Vice versa, the interest rate in theory affects the demand for credit. </w:t>
      </w:r>
      <w:r w:rsidRPr="009B6760">
        <w:rPr>
          <w:rFonts w:ascii="EB Garamond" w:eastAsia="EB Garamond" w:hAnsi="EB Garamond" w:cs="EB Garamond"/>
          <w:color w:val="000000"/>
          <w:sz w:val="20"/>
          <w:szCs w:val="20"/>
        </w:rPr>
        <w:lastRenderedPageBreak/>
        <w:t>Meanwhile, in the results of this study, if the interest rate variable increases, then the credit demand variable will also increase. This is in line with research conducted by Nikita Desi Anggraeni (2015), where the results of his research show that assets, guarantees and loan interest rates have a joint effect on the credit decisions of MSMEs in Blitar City which are tested using statistics with a test obtained by F count is greater than the F table, namely the calculated F value of 37.074 and the F table value with a significance level of 5%, the F table is 2.92.</w:t>
      </w:r>
    </w:p>
    <w:p w14:paraId="3E098876" w14:textId="77777777" w:rsidR="003E63A7" w:rsidRDefault="003E63A7" w:rsidP="003E63A7">
      <w:pPr>
        <w:spacing w:after="0" w:line="240" w:lineRule="auto"/>
        <w:ind w:left="2410"/>
        <w:jc w:val="both"/>
        <w:rPr>
          <w:rFonts w:ascii="EB Garamond" w:eastAsia="EB Garamond" w:hAnsi="EB Garamond" w:cs="EB Garamond"/>
          <w:color w:val="000000"/>
          <w:sz w:val="18"/>
          <w:szCs w:val="18"/>
        </w:rPr>
      </w:pPr>
    </w:p>
    <w:p w14:paraId="0EC4F834" w14:textId="77777777" w:rsidR="006D7633" w:rsidRDefault="004A511C">
      <w:pPr>
        <w:numPr>
          <w:ilvl w:val="0"/>
          <w:numId w:val="13"/>
        </w:numPr>
        <w:pBdr>
          <w:top w:val="nil"/>
          <w:left w:val="nil"/>
          <w:bottom w:val="nil"/>
          <w:right w:val="nil"/>
          <w:between w:val="nil"/>
        </w:pBdr>
        <w:spacing w:after="0" w:line="240" w:lineRule="auto"/>
        <w:ind w:left="1560"/>
        <w:jc w:val="both"/>
        <w:rPr>
          <w:b/>
          <w:color w:val="000000"/>
        </w:rPr>
      </w:pPr>
      <w:r w:rsidRPr="003424FC">
        <w:rPr>
          <w:b/>
          <w:color w:val="7B3F00"/>
        </w:rPr>
        <w:t>Conclusion</w:t>
      </w:r>
      <w:r>
        <w:rPr>
          <w:b/>
          <w:color w:val="FF0000"/>
        </w:rPr>
        <w:t xml:space="preserve"> </w:t>
      </w:r>
    </w:p>
    <w:p w14:paraId="3572947E" w14:textId="77777777" w:rsidR="006D7633" w:rsidRDefault="006D7633">
      <w:pPr>
        <w:spacing w:after="0" w:line="240" w:lineRule="auto"/>
        <w:ind w:left="2410"/>
        <w:jc w:val="both"/>
        <w:rPr>
          <w:rFonts w:ascii="EB Garamond" w:eastAsia="EB Garamond" w:hAnsi="EB Garamond" w:cs="EB Garamond"/>
          <w:color w:val="000000"/>
          <w:sz w:val="18"/>
          <w:szCs w:val="18"/>
        </w:rPr>
      </w:pPr>
    </w:p>
    <w:p w14:paraId="2711AB6A" w14:textId="64B79809" w:rsidR="00FF2A67" w:rsidRDefault="002D21F0" w:rsidP="00C6539B">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r w:rsidRPr="002D21F0">
        <w:rPr>
          <w:rFonts w:ascii="EB Garamond" w:eastAsia="EB Garamond" w:hAnsi="EB Garamond" w:cs="EB Garamond"/>
          <w:color w:val="000000"/>
          <w:sz w:val="20"/>
          <w:szCs w:val="20"/>
        </w:rPr>
        <w:t>Based on the discussion above, the researcher can conclude that:</w:t>
      </w:r>
      <w:r w:rsidR="00C6539B">
        <w:rPr>
          <w:rFonts w:ascii="EB Garamond" w:eastAsia="EB Garamond" w:hAnsi="EB Garamond" w:cs="EB Garamond"/>
          <w:color w:val="000000"/>
          <w:sz w:val="20"/>
          <w:szCs w:val="20"/>
        </w:rPr>
        <w:t xml:space="preserve"> </w:t>
      </w:r>
      <w:r w:rsidRPr="002D21F0">
        <w:rPr>
          <w:rFonts w:ascii="EB Garamond" w:eastAsia="EB Garamond" w:hAnsi="EB Garamond" w:cs="EB Garamond"/>
          <w:color w:val="000000"/>
          <w:sz w:val="20"/>
          <w:szCs w:val="20"/>
        </w:rPr>
        <w:t>Assets partially have a positive and significant effect on customer credit decisions at Bank SULSELBAR Majene Branch, as evidenced by the calculated t</w:t>
      </w:r>
      <w:r w:rsidR="00C6539B">
        <w:rPr>
          <w:rFonts w:ascii="EB Garamond" w:eastAsia="EB Garamond" w:hAnsi="EB Garamond" w:cs="EB Garamond"/>
          <w:color w:val="000000"/>
          <w:sz w:val="20"/>
          <w:szCs w:val="20"/>
        </w:rPr>
        <w:t>-</w:t>
      </w:r>
      <w:r w:rsidRPr="002D21F0">
        <w:rPr>
          <w:rFonts w:ascii="EB Garamond" w:eastAsia="EB Garamond" w:hAnsi="EB Garamond" w:cs="EB Garamond"/>
          <w:color w:val="000000"/>
          <w:sz w:val="20"/>
          <w:szCs w:val="20"/>
        </w:rPr>
        <w:t>value which is greater than the t</w:t>
      </w:r>
      <w:r w:rsidR="00C6539B">
        <w:rPr>
          <w:rFonts w:ascii="EB Garamond" w:eastAsia="EB Garamond" w:hAnsi="EB Garamond" w:cs="EB Garamond"/>
          <w:color w:val="000000"/>
          <w:sz w:val="20"/>
          <w:szCs w:val="20"/>
        </w:rPr>
        <w:t>-</w:t>
      </w:r>
      <w:r w:rsidRPr="002D21F0">
        <w:rPr>
          <w:rFonts w:ascii="EB Garamond" w:eastAsia="EB Garamond" w:hAnsi="EB Garamond" w:cs="EB Garamond"/>
          <w:color w:val="000000"/>
          <w:sz w:val="20"/>
          <w:szCs w:val="20"/>
        </w:rPr>
        <w:t>table value, namely 2.337</w:t>
      </w:r>
      <w:r w:rsidR="00C6539B">
        <w:rPr>
          <w:rFonts w:ascii="EB Garamond" w:eastAsia="EB Garamond" w:hAnsi="EB Garamond" w:cs="EB Garamond"/>
          <w:color w:val="000000"/>
          <w:sz w:val="20"/>
          <w:szCs w:val="20"/>
        </w:rPr>
        <w:t xml:space="preserve"> </w:t>
      </w:r>
      <w:r w:rsidRPr="002D21F0">
        <w:rPr>
          <w:rFonts w:ascii="EB Garamond" w:eastAsia="EB Garamond" w:hAnsi="EB Garamond" w:cs="EB Garamond"/>
          <w:color w:val="000000"/>
          <w:sz w:val="20"/>
          <w:szCs w:val="20"/>
        </w:rPr>
        <w:t>&gt; 1.984 and the significance level value is smaller than 0.05, namely 0.021 &lt;</w:t>
      </w:r>
      <w:r w:rsidR="00C6539B">
        <w:rPr>
          <w:rFonts w:ascii="EB Garamond" w:eastAsia="EB Garamond" w:hAnsi="EB Garamond" w:cs="EB Garamond"/>
          <w:color w:val="000000"/>
          <w:sz w:val="20"/>
          <w:szCs w:val="20"/>
        </w:rPr>
        <w:t xml:space="preserve"> </w:t>
      </w:r>
      <w:r w:rsidRPr="002D21F0">
        <w:rPr>
          <w:rFonts w:ascii="EB Garamond" w:eastAsia="EB Garamond" w:hAnsi="EB Garamond" w:cs="EB Garamond"/>
          <w:color w:val="000000"/>
          <w:sz w:val="20"/>
          <w:szCs w:val="20"/>
        </w:rPr>
        <w:t>0.05.</w:t>
      </w:r>
      <w:r w:rsidR="00C6539B">
        <w:rPr>
          <w:rFonts w:ascii="EB Garamond" w:eastAsia="EB Garamond" w:hAnsi="EB Garamond" w:cs="EB Garamond"/>
          <w:color w:val="000000"/>
          <w:sz w:val="20"/>
          <w:szCs w:val="20"/>
        </w:rPr>
        <w:t xml:space="preserve"> </w:t>
      </w:r>
      <w:r w:rsidRPr="002D21F0">
        <w:rPr>
          <w:rFonts w:ascii="EB Garamond" w:eastAsia="EB Garamond" w:hAnsi="EB Garamond" w:cs="EB Garamond"/>
          <w:color w:val="000000"/>
          <w:sz w:val="20"/>
          <w:szCs w:val="20"/>
        </w:rPr>
        <w:t>Collateral partially has a positive and significant effect on customer credit decisions at Bank SULSELBAR Majene Branch, as evidenced by the calculated t value which is greater than the t table value, namely 1.999</w:t>
      </w:r>
      <w:r w:rsidR="00C6539B">
        <w:rPr>
          <w:rFonts w:ascii="EB Garamond" w:eastAsia="EB Garamond" w:hAnsi="EB Garamond" w:cs="EB Garamond"/>
          <w:color w:val="000000"/>
          <w:sz w:val="20"/>
          <w:szCs w:val="20"/>
        </w:rPr>
        <w:t xml:space="preserve"> </w:t>
      </w:r>
      <w:r w:rsidRPr="002D21F0">
        <w:rPr>
          <w:rFonts w:ascii="EB Garamond" w:eastAsia="EB Garamond" w:hAnsi="EB Garamond" w:cs="EB Garamond"/>
          <w:color w:val="000000"/>
          <w:sz w:val="20"/>
          <w:szCs w:val="20"/>
        </w:rPr>
        <w:t>&gt; 1.984 and the significance level value is smaller than 0.05, namely 0.048 &lt;</w:t>
      </w:r>
      <w:r w:rsidR="00C6539B">
        <w:rPr>
          <w:rFonts w:ascii="EB Garamond" w:eastAsia="EB Garamond" w:hAnsi="EB Garamond" w:cs="EB Garamond"/>
          <w:color w:val="000000"/>
          <w:sz w:val="20"/>
          <w:szCs w:val="20"/>
        </w:rPr>
        <w:t xml:space="preserve"> </w:t>
      </w:r>
      <w:r w:rsidRPr="002D21F0">
        <w:rPr>
          <w:rFonts w:ascii="EB Garamond" w:eastAsia="EB Garamond" w:hAnsi="EB Garamond" w:cs="EB Garamond"/>
          <w:color w:val="000000"/>
          <w:sz w:val="20"/>
          <w:szCs w:val="20"/>
        </w:rPr>
        <w:t>0.05.</w:t>
      </w:r>
      <w:r w:rsidR="00C6539B">
        <w:rPr>
          <w:rFonts w:ascii="EB Garamond" w:eastAsia="EB Garamond" w:hAnsi="EB Garamond" w:cs="EB Garamond"/>
          <w:color w:val="000000"/>
          <w:sz w:val="20"/>
          <w:szCs w:val="20"/>
        </w:rPr>
        <w:t xml:space="preserve"> </w:t>
      </w:r>
      <w:r w:rsidRPr="002D21F0">
        <w:rPr>
          <w:rFonts w:ascii="EB Garamond" w:eastAsia="EB Garamond" w:hAnsi="EB Garamond" w:cs="EB Garamond"/>
          <w:color w:val="000000"/>
          <w:sz w:val="20"/>
          <w:szCs w:val="20"/>
        </w:rPr>
        <w:t>Interest rates partially have a positive and significant effect on customer credit decisions at Bank SULSELBAR Majene Branch, as evidenced by the calculated t value which is greater than the t</w:t>
      </w:r>
      <w:r w:rsidR="00C6539B">
        <w:rPr>
          <w:rFonts w:ascii="EB Garamond" w:eastAsia="EB Garamond" w:hAnsi="EB Garamond" w:cs="EB Garamond"/>
          <w:color w:val="000000"/>
          <w:sz w:val="20"/>
          <w:szCs w:val="20"/>
        </w:rPr>
        <w:t>-</w:t>
      </w:r>
      <w:r w:rsidRPr="002D21F0">
        <w:rPr>
          <w:rFonts w:ascii="EB Garamond" w:eastAsia="EB Garamond" w:hAnsi="EB Garamond" w:cs="EB Garamond"/>
          <w:color w:val="000000"/>
          <w:sz w:val="20"/>
          <w:szCs w:val="20"/>
        </w:rPr>
        <w:t>table value, namely 3.648</w:t>
      </w:r>
      <w:r w:rsidR="00C6539B">
        <w:rPr>
          <w:rFonts w:ascii="EB Garamond" w:eastAsia="EB Garamond" w:hAnsi="EB Garamond" w:cs="EB Garamond"/>
          <w:color w:val="000000"/>
          <w:sz w:val="20"/>
          <w:szCs w:val="20"/>
        </w:rPr>
        <w:t xml:space="preserve"> </w:t>
      </w:r>
      <w:r w:rsidRPr="002D21F0">
        <w:rPr>
          <w:rFonts w:ascii="EB Garamond" w:eastAsia="EB Garamond" w:hAnsi="EB Garamond" w:cs="EB Garamond"/>
          <w:color w:val="000000"/>
          <w:sz w:val="20"/>
          <w:szCs w:val="20"/>
        </w:rPr>
        <w:t>&gt; 1.984 and the significance level value is smaller than 0.05, namely 0.000 &lt;</w:t>
      </w:r>
      <w:r w:rsidR="00C6539B">
        <w:rPr>
          <w:rFonts w:ascii="EB Garamond" w:eastAsia="EB Garamond" w:hAnsi="EB Garamond" w:cs="EB Garamond"/>
          <w:color w:val="000000"/>
          <w:sz w:val="20"/>
          <w:szCs w:val="20"/>
        </w:rPr>
        <w:t xml:space="preserve"> </w:t>
      </w:r>
      <w:r w:rsidRPr="002D21F0">
        <w:rPr>
          <w:rFonts w:ascii="EB Garamond" w:eastAsia="EB Garamond" w:hAnsi="EB Garamond" w:cs="EB Garamond"/>
          <w:color w:val="000000"/>
          <w:sz w:val="20"/>
          <w:szCs w:val="20"/>
        </w:rPr>
        <w:t>0. 05.</w:t>
      </w:r>
      <w:r w:rsidR="00C6539B">
        <w:rPr>
          <w:rFonts w:ascii="EB Garamond" w:eastAsia="EB Garamond" w:hAnsi="EB Garamond" w:cs="EB Garamond"/>
          <w:color w:val="000000"/>
          <w:sz w:val="20"/>
          <w:szCs w:val="20"/>
        </w:rPr>
        <w:t xml:space="preserve"> </w:t>
      </w:r>
      <w:r w:rsidRPr="002D21F0">
        <w:rPr>
          <w:rFonts w:ascii="EB Garamond" w:eastAsia="EB Garamond" w:hAnsi="EB Garamond" w:cs="EB Garamond"/>
          <w:color w:val="000000"/>
          <w:sz w:val="20"/>
          <w:szCs w:val="20"/>
        </w:rPr>
        <w:t xml:space="preserve">Assets, guarantees and interest rates simultaneously have a positive and significant effect on customer credit decisions at Bank SULSELBAR Majene Branch, as evidenced by the calculated f </w:t>
      </w:r>
      <w:r w:rsidR="00C6539B" w:rsidRPr="002D21F0">
        <w:rPr>
          <w:rFonts w:ascii="EB Garamond" w:eastAsia="EB Garamond" w:hAnsi="EB Garamond" w:cs="EB Garamond"/>
          <w:color w:val="000000"/>
          <w:sz w:val="20"/>
          <w:szCs w:val="20"/>
        </w:rPr>
        <w:t>value,</w:t>
      </w:r>
      <w:r w:rsidRPr="002D21F0">
        <w:rPr>
          <w:rFonts w:ascii="EB Garamond" w:eastAsia="EB Garamond" w:hAnsi="EB Garamond" w:cs="EB Garamond"/>
          <w:color w:val="000000"/>
          <w:sz w:val="20"/>
          <w:szCs w:val="20"/>
        </w:rPr>
        <w:t xml:space="preserve"> which is greater than the f</w:t>
      </w:r>
      <w:r w:rsidR="00C6539B">
        <w:rPr>
          <w:rFonts w:ascii="EB Garamond" w:eastAsia="EB Garamond" w:hAnsi="EB Garamond" w:cs="EB Garamond"/>
          <w:color w:val="000000"/>
          <w:sz w:val="20"/>
          <w:szCs w:val="20"/>
        </w:rPr>
        <w:t>-</w:t>
      </w:r>
      <w:r w:rsidRPr="002D21F0">
        <w:rPr>
          <w:rFonts w:ascii="EB Garamond" w:eastAsia="EB Garamond" w:hAnsi="EB Garamond" w:cs="EB Garamond"/>
          <w:color w:val="000000"/>
          <w:sz w:val="20"/>
          <w:szCs w:val="20"/>
        </w:rPr>
        <w:t>table value, namely 37.074&gt; 2.92</w:t>
      </w:r>
      <w:r w:rsidR="003E63A7" w:rsidRPr="003E63A7">
        <w:rPr>
          <w:rFonts w:ascii="EB Garamond" w:eastAsia="EB Garamond" w:hAnsi="EB Garamond" w:cs="EB Garamond"/>
          <w:color w:val="000000"/>
          <w:sz w:val="20"/>
          <w:szCs w:val="20"/>
        </w:rPr>
        <w:t>.</w:t>
      </w:r>
    </w:p>
    <w:p w14:paraId="1046CDA4" w14:textId="77777777" w:rsidR="003C27B9" w:rsidRPr="003E63A7" w:rsidRDefault="003C27B9" w:rsidP="003C27B9">
      <w:pPr>
        <w:pBdr>
          <w:top w:val="nil"/>
          <w:left w:val="nil"/>
          <w:bottom w:val="nil"/>
          <w:right w:val="nil"/>
          <w:between w:val="nil"/>
        </w:pBdr>
        <w:spacing w:after="0" w:line="240" w:lineRule="auto"/>
        <w:ind w:left="1276" w:firstLine="284"/>
        <w:jc w:val="both"/>
        <w:rPr>
          <w:rFonts w:ascii="EB Garamond" w:eastAsia="EB Garamond" w:hAnsi="EB Garamond" w:cs="EB Garamond"/>
          <w:color w:val="000000"/>
          <w:sz w:val="20"/>
          <w:szCs w:val="20"/>
        </w:rPr>
      </w:pPr>
    </w:p>
    <w:p w14:paraId="026BDB38" w14:textId="6C94E347" w:rsidR="006D7633" w:rsidRPr="0004495E" w:rsidRDefault="004A511C" w:rsidP="0004495E">
      <w:pPr>
        <w:spacing w:after="0" w:line="240" w:lineRule="auto"/>
        <w:ind w:left="556" w:firstLine="578"/>
        <w:jc w:val="both"/>
        <w:rPr>
          <w:b/>
          <w:color w:val="7B3F00"/>
        </w:rPr>
      </w:pPr>
      <w:r w:rsidRPr="003424FC">
        <w:rPr>
          <w:b/>
          <w:color w:val="7B3F00"/>
        </w:rPr>
        <w:t xml:space="preserve">References </w:t>
      </w:r>
    </w:p>
    <w:p w14:paraId="7EC5A983" w14:textId="77777777" w:rsidR="006D7633" w:rsidRDefault="006D7633">
      <w:pPr>
        <w:pBdr>
          <w:top w:val="nil"/>
          <w:left w:val="nil"/>
          <w:bottom w:val="nil"/>
          <w:right w:val="nil"/>
          <w:between w:val="nil"/>
        </w:pBdr>
        <w:spacing w:after="0" w:line="240" w:lineRule="auto"/>
        <w:ind w:left="2410" w:firstLine="283"/>
        <w:jc w:val="both"/>
        <w:rPr>
          <w:rFonts w:ascii="EB Garamond" w:eastAsia="EB Garamond" w:hAnsi="EB Garamond" w:cs="EB Garamond"/>
          <w:color w:val="000000"/>
          <w:sz w:val="18"/>
          <w:szCs w:val="18"/>
        </w:rPr>
        <w:sectPr w:rsidR="006D7633" w:rsidSect="004351BC">
          <w:headerReference w:type="default" r:id="rId12"/>
          <w:footerReference w:type="default" r:id="rId13"/>
          <w:pgSz w:w="11906" w:h="16838"/>
          <w:pgMar w:top="1440" w:right="1440" w:bottom="1440" w:left="1440" w:header="397" w:footer="708" w:gutter="0"/>
          <w:pgNumType w:start="15"/>
          <w:cols w:space="720"/>
        </w:sectPr>
      </w:pPr>
    </w:p>
    <w:p w14:paraId="3113096F"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Arifin, Zainal. 2011. Educational Research. Bandung: Rosda Youth.</w:t>
      </w:r>
    </w:p>
    <w:p w14:paraId="425DAB5C"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Brigitta Tyas Firmani. 2008. The Effect of Term, Interest Rates and Credit Guarantees on the Amount of Bad Credit. Case Study of PD BPR BKKPurwokerto Utara, Banyumas Branch. Thesis of the Faculty of Economics, Sanata Dharma University, Yogyakarta</w:t>
      </w:r>
    </w:p>
    <w:p w14:paraId="1E83BF91"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 xml:space="preserve">Ervina Aldan Nandifah. 2020. The Influence of Assets, Collateral </w:t>
      </w:r>
      <w:proofErr w:type="gramStart"/>
      <w:r w:rsidRPr="002D21F0">
        <w:rPr>
          <w:rFonts w:ascii="EB Garamond" w:eastAsia="EB Garamond" w:hAnsi="EB Garamond" w:cs="EB Garamond"/>
          <w:sz w:val="18"/>
          <w:szCs w:val="18"/>
        </w:rPr>
        <w:t>Value</w:t>
      </w:r>
      <w:proofErr w:type="gramEnd"/>
      <w:r w:rsidRPr="002D21F0">
        <w:rPr>
          <w:rFonts w:ascii="EB Garamond" w:eastAsia="EB Garamond" w:hAnsi="EB Garamond" w:cs="EB Garamond"/>
          <w:sz w:val="18"/>
          <w:szCs w:val="18"/>
        </w:rPr>
        <w:t xml:space="preserve"> and Interest Rates on MSME Decisions in Taking Credit at Bank Rakyat Indonesia tbk Keling Branch Unit. Thesis Faculty of Economics, Nahdlatul Ulama Islamic University, Jepara.</w:t>
      </w:r>
    </w:p>
    <w:p w14:paraId="3F58DAAB"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Hartono, Aili Papang. 2020. Granting of Credit with a Patent Fiduciary Guarantee. Bandung: PT Alumni</w:t>
      </w:r>
    </w:p>
    <w:p w14:paraId="4EC9A66A"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Hussein, Omar. 2011. Research Methods for Business Thesis and Thesis 11th Edition. Jakarta: PT Raja Grafindo Persada.</w:t>
      </w:r>
    </w:p>
    <w:p w14:paraId="2902179C"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Ismanto, et al. 2019. Banking and Financial Literacy. Yogyakarta: CV Budi Utama Publishing Group</w:t>
      </w:r>
    </w:p>
    <w:p w14:paraId="5050931D"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Cashmere. 2009. Introduction to Financial Management. Jakarta: Kencana</w:t>
      </w:r>
    </w:p>
    <w:p w14:paraId="3E289867"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Kosasih, Johannes Ibrahim. 2019. Access to Credit and Various Credit Facilities in Bank Credit Agreements. East Jakarta: Sinar Graphic</w:t>
      </w:r>
    </w:p>
    <w:p w14:paraId="366B6B3B"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Kotler, Philip. 2002. Marketing Management, Millennium Edition. Jakarta: PT. Prenhallindo</w:t>
      </w:r>
    </w:p>
    <w:p w14:paraId="51FD78AB"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Nikita Desi Anggraeni. 2015. The Influence of Assets, Guarantees and Perceptions of Interest Rates on Credit Decisions of MSME Actors in Blitar. Thesis of the Faculty of Economics, State Islamic University of Maulana Malik Ibrahim Malang</w:t>
      </w:r>
    </w:p>
    <w:p w14:paraId="040B27D8"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Government Regulation Number 71 of 2010 concerning Government Accounting Standards (SAP)</w:t>
      </w:r>
    </w:p>
    <w:p w14:paraId="3B043647"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Putra, Ardhansyah, et al. 2020. Banks and Other Financial Institutions. Surabaya: CV. Jakad Media Publishing</w:t>
      </w:r>
    </w:p>
    <w:p w14:paraId="2BA30D19"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Raharjo, Handri. 2012. The Smart Way to Choose and Apply for Credit. Semarang: MedPress Digital</w:t>
      </w:r>
    </w:p>
    <w:p w14:paraId="293A409D"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Rodly Prabhawa. 2013. The Effect of Loan Interest Rates and Guarantees on the Number of Requests for Working Capital Loans by Small and Medium Enterprises</w:t>
      </w:r>
    </w:p>
    <w:p w14:paraId="3ACD9A48"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(Study at PT. Bank Sumut Branch Medan Market). Thesis Faculty of Social and Political Sciences, University of North Sumatra</w:t>
      </w:r>
    </w:p>
    <w:p w14:paraId="7CA48E6D"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Sugiyono. 2016. Qualitative Quantitative Research Methods and R&amp;D. Bandung: Alphabet</w:t>
      </w:r>
    </w:p>
    <w:p w14:paraId="4FF8D65F"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Sugiyono. 2017. Qualitative Quantitative Research Methods and R&amp;D. Bandung: Alphabet</w:t>
      </w:r>
    </w:p>
    <w:p w14:paraId="1844CE36"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Sujarweni, V. 2014. Complete, Practical and Easy to Understand Research Methods. Yogyakarta: New Press Library.</w:t>
      </w:r>
    </w:p>
    <w:p w14:paraId="22A79CF9"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Supianto. 2015. Fiduciary Guarantee Law. Jakarta: Garudhawaca</w:t>
      </w:r>
    </w:p>
    <w:p w14:paraId="452800BB" w14:textId="7312DD7D"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 xml:space="preserve">Supramono, Gatot. 2009. Banking and Credit Problems. Jakarta: Rineka Cipta Suyatno, Thomas. 2003. </w:t>
      </w:r>
      <w:r w:rsidRPr="002D21F0">
        <w:rPr>
          <w:rFonts w:ascii="EB Garamond" w:eastAsia="EB Garamond" w:hAnsi="EB Garamond" w:cs="EB Garamond"/>
          <w:sz w:val="18"/>
          <w:szCs w:val="18"/>
        </w:rPr>
        <w:lastRenderedPageBreak/>
        <w:t>Fundamentals of Credit. Jakarta: PT Gramedia Pustaka Main</w:t>
      </w:r>
    </w:p>
    <w:p w14:paraId="2AB0E5EB"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Syaekhu, Ahmad, et al. 2021. Decision Making Theory. Yogyakarta: Zahir Publishing</w:t>
      </w:r>
    </w:p>
    <w:p w14:paraId="5F7135FF"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Vargo Christian L. Tobing and Hendri Herman. 2020. Analysis of Credit Interest Rates and Credit Guarantees on Credit Decisions at Batam Financing Companies. Journal of Accounting and Investment, University of Putra Batam.</w:t>
      </w:r>
    </w:p>
    <w:p w14:paraId="1531585F" w14:textId="77777777" w:rsidR="002D21F0" w:rsidRPr="002D21F0"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Wahyuni, et al. 2020. Introduction to Asset Management. Makasar: CV. Nas Media Library</w:t>
      </w:r>
    </w:p>
    <w:p w14:paraId="205D1A2F" w14:textId="2117FB19" w:rsidR="006D7633" w:rsidRDefault="002D21F0" w:rsidP="00C53219">
      <w:pPr>
        <w:widowControl w:val="0"/>
        <w:spacing w:after="0" w:line="240" w:lineRule="auto"/>
        <w:ind w:left="1724" w:hanging="284"/>
        <w:jc w:val="both"/>
        <w:rPr>
          <w:rFonts w:ascii="EB Garamond" w:eastAsia="EB Garamond" w:hAnsi="EB Garamond" w:cs="EB Garamond"/>
          <w:sz w:val="18"/>
          <w:szCs w:val="18"/>
        </w:rPr>
      </w:pPr>
      <w:r w:rsidRPr="002D21F0">
        <w:rPr>
          <w:rFonts w:ascii="EB Garamond" w:eastAsia="EB Garamond" w:hAnsi="EB Garamond" w:cs="EB Garamond"/>
          <w:sz w:val="18"/>
          <w:szCs w:val="18"/>
        </w:rPr>
        <w:t>Wangsawidjaja. 2020. Commercial Bank Credit According to Indonesian Banking Theory and Practice. Yogyakarta: Sea of Libraries</w:t>
      </w:r>
    </w:p>
    <w:sectPr w:rsidR="006D7633">
      <w:type w:val="continuous"/>
      <w:pgSz w:w="11906" w:h="16838"/>
      <w:pgMar w:top="1440" w:right="1440" w:bottom="1440" w:left="1440" w:header="397"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DD55" w14:textId="77777777" w:rsidR="00831A72" w:rsidRDefault="00831A72">
      <w:pPr>
        <w:spacing w:after="0" w:line="240" w:lineRule="auto"/>
      </w:pPr>
      <w:r>
        <w:separator/>
      </w:r>
    </w:p>
  </w:endnote>
  <w:endnote w:type="continuationSeparator" w:id="0">
    <w:p w14:paraId="261C0F87" w14:textId="77777777" w:rsidR="00831A72" w:rsidRDefault="0083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EB Garamond">
    <w:panose1 w:val="00000000000000000000"/>
    <w:charset w:val="00"/>
    <w:family w:val="auto"/>
    <w:pitch w:val="variable"/>
    <w:sig w:usb0="E00002FF" w:usb1="5201E4F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dobe Garamond Pro">
    <w:panose1 w:val="02020502060506020403"/>
    <w:charset w:val="00"/>
    <w:family w:val="roman"/>
    <w:notTrueType/>
    <w:pitch w:val="variable"/>
    <w:sig w:usb0="00000087" w:usb1="00000001"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153527364"/>
      <w:docPartObj>
        <w:docPartGallery w:val="Page Numbers (Bottom of Page)"/>
        <w:docPartUnique/>
      </w:docPartObj>
    </w:sdtPr>
    <w:sdtContent>
      <w:sdt>
        <w:sdtPr>
          <w:rPr>
            <w:rFonts w:ascii="Corbel" w:hAnsi="Corbel"/>
          </w:rPr>
          <w:id w:val="-1542358331"/>
          <w:docPartObj>
            <w:docPartGallery w:val="Page Numbers (Top of Page)"/>
            <w:docPartUnique/>
          </w:docPartObj>
        </w:sdtPr>
        <w:sdtContent>
          <w:p w14:paraId="1007B709" w14:textId="1DE5C6E3" w:rsidR="00FF2A67" w:rsidRPr="002B73EF" w:rsidRDefault="0068041E" w:rsidP="00FF2A67">
            <w:pPr>
              <w:pStyle w:val="Footer"/>
              <w:jc w:val="right"/>
              <w:rPr>
                <w:rFonts w:ascii="Corbel" w:hAnsi="Corbel"/>
              </w:rPr>
            </w:pPr>
            <w:r w:rsidRPr="00043074">
              <w:rPr>
                <w:rFonts w:cstheme="minorHAnsi"/>
                <w:noProof/>
                <w:sz w:val="16"/>
                <w:szCs w:val="16"/>
              </w:rPr>
              <mc:AlternateContent>
                <mc:Choice Requires="wps">
                  <w:drawing>
                    <wp:anchor distT="0" distB="0" distL="114300" distR="114300" simplePos="0" relativeHeight="251661312" behindDoc="1" locked="0" layoutInCell="1" allowOverlap="1" wp14:anchorId="6D311600" wp14:editId="0F25E554">
                      <wp:simplePos x="0" y="0"/>
                      <wp:positionH relativeFrom="column">
                        <wp:posOffset>1461481</wp:posOffset>
                      </wp:positionH>
                      <wp:positionV relativeFrom="paragraph">
                        <wp:posOffset>-41275</wp:posOffset>
                      </wp:positionV>
                      <wp:extent cx="3693160" cy="366395"/>
                      <wp:effectExtent l="0" t="0" r="2540" b="0"/>
                      <wp:wrapNone/>
                      <wp:docPr id="2" name="Rectangle 2"/>
                      <wp:cNvGraphicFramePr/>
                      <a:graphic xmlns:a="http://schemas.openxmlformats.org/drawingml/2006/main">
                        <a:graphicData uri="http://schemas.microsoft.com/office/word/2010/wordprocessingShape">
                          <wps:wsp>
                            <wps:cNvSpPr/>
                            <wps:spPr>
                              <a:xfrm>
                                <a:off x="0" y="0"/>
                                <a:ext cx="3693160" cy="36639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5F913B9" w14:textId="2FFAB073" w:rsidR="00FF2A67" w:rsidRPr="00DF5D39" w:rsidRDefault="00FF2A67" w:rsidP="00FF2A67">
                                  <w:pPr>
                                    <w:spacing w:after="0" w:line="240" w:lineRule="auto"/>
                                    <w:rPr>
                                      <w:rFonts w:ascii="Adobe Garamond Pro" w:hAnsi="Adobe Garamond Pro"/>
                                      <w:sz w:val="14"/>
                                      <w:szCs w:val="14"/>
                                    </w:rPr>
                                  </w:pPr>
                                  <w:r w:rsidRPr="00DF5D39">
                                    <w:rPr>
                                      <w:rFonts w:ascii="Adobe Garamond Pro" w:hAnsi="Adobe Garamond Pro"/>
                                      <w:sz w:val="14"/>
                                      <w:szCs w:val="14"/>
                                    </w:rPr>
                                    <w:t>202</w:t>
                                  </w:r>
                                  <w:r w:rsidR="004351BC">
                                    <w:rPr>
                                      <w:rFonts w:ascii="Adobe Garamond Pro" w:hAnsi="Adobe Garamond Pro"/>
                                      <w:sz w:val="14"/>
                                      <w:szCs w:val="14"/>
                                    </w:rPr>
                                    <w:t>3</w:t>
                                  </w:r>
                                  <w:r>
                                    <w:rPr>
                                      <w:rFonts w:ascii="Adobe Garamond Pro" w:hAnsi="Adobe Garamond Pro"/>
                                      <w:sz w:val="14"/>
                                      <w:szCs w:val="14"/>
                                    </w:rPr>
                                    <w:t>.</w:t>
                                  </w:r>
                                  <w:r w:rsidRPr="00DF5D39">
                                    <w:rPr>
                                      <w:rFonts w:ascii="Adobe Garamond Pro" w:hAnsi="Adobe Garamond Pro"/>
                                      <w:sz w:val="14"/>
                                      <w:szCs w:val="14"/>
                                    </w:rPr>
                                    <w:t xml:space="preserve"> The Author(s). This open-access article is distributed under a Creative Commons Attribution (CC-BY</w:t>
                                  </w:r>
                                  <w:r>
                                    <w:rPr>
                                      <w:rFonts w:ascii="Adobe Garamond Pro" w:hAnsi="Adobe Garamond Pro"/>
                                      <w:sz w:val="14"/>
                                      <w:szCs w:val="14"/>
                                    </w:rPr>
                                    <w:t>-SA</w:t>
                                  </w:r>
                                  <w:r w:rsidRPr="00DF5D39">
                                    <w:rPr>
                                      <w:rFonts w:ascii="Adobe Garamond Pro" w:hAnsi="Adobe Garamond Pro"/>
                                      <w:sz w:val="14"/>
                                      <w:szCs w:val="14"/>
                                    </w:rPr>
                                    <w:t>) 4.0 license.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D311600" id="Rectangle 2" o:spid="_x0000_s1027" style="position:absolute;left:0;text-align:left;margin-left:115.1pt;margin-top:-3.25pt;width:290.8pt;height:2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" fillcolor="white [3201]" stroked="f" strokeweight="1pt">
                      <v:textbox>
                        <w:txbxContent>
                          <w:p w14:paraId="25F913B9" w14:textId="2FFAB073" w:rsidR="00FF2A67" w:rsidRPr="00DF5D39" w:rsidRDefault="00FF2A67" w:rsidP="00FF2A67">
                            <w:pPr>
                              <w:spacing w:after="0" w:line="240" w:lineRule="auto"/>
                              <w:rPr>
                                <w:rFonts w:ascii="Adobe Garamond Pro" w:hAnsi="Adobe Garamond Pro"/>
                                <w:sz w:val="14"/>
                                <w:szCs w:val="14"/>
                              </w:rPr>
                            </w:pPr>
                            <w:r w:rsidRPr="00DF5D39">
                              <w:rPr>
                                <w:rFonts w:ascii="Adobe Garamond Pro" w:hAnsi="Adobe Garamond Pro"/>
                                <w:sz w:val="14"/>
                                <w:szCs w:val="14"/>
                              </w:rPr>
                              <w:t>202</w:t>
                            </w:r>
                            <w:r w:rsidR="004351BC">
                              <w:rPr>
                                <w:rFonts w:ascii="Adobe Garamond Pro" w:hAnsi="Adobe Garamond Pro"/>
                                <w:sz w:val="14"/>
                                <w:szCs w:val="14"/>
                              </w:rPr>
                              <w:t>3</w:t>
                            </w:r>
                            <w:r>
                              <w:rPr>
                                <w:rFonts w:ascii="Adobe Garamond Pro" w:hAnsi="Adobe Garamond Pro"/>
                                <w:sz w:val="14"/>
                                <w:szCs w:val="14"/>
                              </w:rPr>
                              <w:t>.</w:t>
                            </w:r>
                            <w:r w:rsidRPr="00DF5D39">
                              <w:rPr>
                                <w:rFonts w:ascii="Adobe Garamond Pro" w:hAnsi="Adobe Garamond Pro"/>
                                <w:sz w:val="14"/>
                                <w:szCs w:val="14"/>
                              </w:rPr>
                              <w:t xml:space="preserve"> The Author(s). This open-access article is distributed under a Creative Commons Attribution (CC-BY</w:t>
                            </w:r>
                            <w:r>
                              <w:rPr>
                                <w:rFonts w:ascii="Adobe Garamond Pro" w:hAnsi="Adobe Garamond Pro"/>
                                <w:sz w:val="14"/>
                                <w:szCs w:val="14"/>
                              </w:rPr>
                              <w:t>-SA</w:t>
                            </w:r>
                            <w:r w:rsidRPr="00DF5D39">
                              <w:rPr>
                                <w:rFonts w:ascii="Adobe Garamond Pro" w:hAnsi="Adobe Garamond Pro"/>
                                <w:sz w:val="14"/>
                                <w:szCs w:val="14"/>
                              </w:rPr>
                              <w:t>) 4.0 license.</w:t>
                            </w:r>
                          </w:p>
                        </w:txbxContent>
                      </v:textbox>
                    </v:rect>
                  </w:pict>
                </mc:Fallback>
              </mc:AlternateContent>
            </w:r>
            <w:r w:rsidR="00FF2A67" w:rsidRPr="00043074">
              <w:rPr>
                <w:rFonts w:cstheme="minorHAnsi"/>
                <w:noProof/>
                <w:sz w:val="16"/>
                <w:szCs w:val="16"/>
              </w:rPr>
              <mc:AlternateContent>
                <mc:Choice Requires="wps">
                  <w:drawing>
                    <wp:anchor distT="0" distB="0" distL="114300" distR="114300" simplePos="0" relativeHeight="251662336" behindDoc="0" locked="0" layoutInCell="1" allowOverlap="1" wp14:anchorId="3BDB8D93" wp14:editId="70D313DF">
                      <wp:simplePos x="0" y="0"/>
                      <wp:positionH relativeFrom="column">
                        <wp:posOffset>639673</wp:posOffset>
                      </wp:positionH>
                      <wp:positionV relativeFrom="paragraph">
                        <wp:posOffset>-73253</wp:posOffset>
                      </wp:positionV>
                      <wp:extent cx="983895" cy="405993"/>
                      <wp:effectExtent l="0" t="0" r="0" b="0"/>
                      <wp:wrapNone/>
                      <wp:docPr id="7" name="Rectangle 7"/>
                      <wp:cNvGraphicFramePr/>
                      <a:graphic xmlns:a="http://schemas.openxmlformats.org/drawingml/2006/main">
                        <a:graphicData uri="http://schemas.microsoft.com/office/word/2010/wordprocessingShape">
                          <wps:wsp>
                            <wps:cNvSpPr/>
                            <wps:spPr>
                              <a:xfrm>
                                <a:off x="0" y="0"/>
                                <a:ext cx="983895" cy="4059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127195" w14:textId="77777777" w:rsidR="00FF2A67" w:rsidRDefault="00FF2A67" w:rsidP="00FF2A67">
                                  <w:pPr>
                                    <w:jc w:val="center"/>
                                  </w:pPr>
                                  <w:r>
                                    <w:rPr>
                                      <w:noProof/>
                                    </w:rPr>
                                    <w:drawing>
                                      <wp:inline distT="0" distB="0" distL="0" distR="0" wp14:anchorId="531EAE11" wp14:editId="7CA0C84F">
                                        <wp:extent cx="756920" cy="276860"/>
                                        <wp:effectExtent l="0" t="0" r="5080" b="8890"/>
                                        <wp:docPr id="677188514" name="Picture 677188514">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55" name="Picture 8">
                                                  <a:hlinkClick r:id="rId1"/>
                                                </pic:cNvPr>
                                                <pic:cNvPicPr/>
                                              </pic:nvPicPr>
                                              <pic:blipFill>
                                                <a:blip r:embed="rId2">
                                                  <a:extLst>
                                                    <a:ext uri="{28A0092B-C50C-407E-A947-70E740481C1C}">
                                                      <a14:useLocalDpi xmlns:a14="http://schemas.microsoft.com/office/drawing/2010/main" val="0"/>
                                                    </a:ext>
                                                  </a:extLst>
                                                </a:blip>
                                                <a:srcRect l="2173" r="2173"/>
                                                <a:stretch>
                                                  <a:fillRect/>
                                                </a:stretch>
                                              </pic:blipFill>
                                              <pic:spPr bwMode="auto">
                                                <a:xfrm>
                                                  <a:off x="0" y="0"/>
                                                  <a:ext cx="756920" cy="2768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3BDB8D93" id="Rectangle 7" o:spid="_x0000_s1028" style="position:absolute;left:0;text-align:left;margin-left:50.35pt;margin-top:-5.75pt;width:77.45pt;height:31.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" filled="f" stroked="f" strokeweight="1pt">
                      <v:textbox>
                        <w:txbxContent>
                          <w:p w14:paraId="5F127195" w14:textId="77777777" w:rsidR="00FF2A67" w:rsidRDefault="00FF2A67" w:rsidP="00FF2A67">
                            <w:pPr>
                              <w:jc w:val="center"/>
                            </w:pPr>
                            <w:r>
                              <w:rPr>
                                <w:noProof/>
                              </w:rPr>
                              <w:drawing>
                                <wp:inline distT="0" distB="0" distL="0" distR="0" wp14:anchorId="531EAE11" wp14:editId="7CA0C84F">
                                  <wp:extent cx="756920" cy="276860"/>
                                  <wp:effectExtent l="0" t="0" r="5080" b="8890"/>
                                  <wp:docPr id="677188514" name="Picture 677188514">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55" name="Picture 8">
                                            <a:hlinkClick r:id="rId1"/>
                                          </pic:cNvPr>
                                          <pic:cNvPicPr/>
                                        </pic:nvPicPr>
                                        <pic:blipFill>
                                          <a:blip r:embed="rId2">
                                            <a:extLst>
                                              <a:ext uri="{28A0092B-C50C-407E-A947-70E740481C1C}">
                                                <a14:useLocalDpi xmlns:a14="http://schemas.microsoft.com/office/drawing/2010/main" val="0"/>
                                              </a:ext>
                                            </a:extLst>
                                          </a:blip>
                                          <a:srcRect l="2173" r="2173"/>
                                          <a:stretch>
                                            <a:fillRect/>
                                          </a:stretch>
                                        </pic:blipFill>
                                        <pic:spPr bwMode="auto">
                                          <a:xfrm>
                                            <a:off x="0" y="0"/>
                                            <a:ext cx="756920" cy="276860"/>
                                          </a:xfrm>
                                          <a:prstGeom prst="rect">
                                            <a:avLst/>
                                          </a:prstGeom>
                                          <a:ln>
                                            <a:noFill/>
                                          </a:ln>
                                          <a:extLst>
                                            <a:ext uri="{53640926-AAD7-44D8-BBD7-CCE9431645EC}">
                                              <a14:shadowObscured xmlns:a14="http://schemas.microsoft.com/office/drawing/2010/main"/>
                                            </a:ext>
                                          </a:extLst>
                                        </pic:spPr>
                                      </pic:pic>
                                    </a:graphicData>
                                  </a:graphic>
                                </wp:inline>
                              </w:drawing>
                            </w:r>
                          </w:p>
                        </w:txbxContent>
                      </v:textbox>
                    </v:rect>
                  </w:pict>
                </mc:Fallback>
              </mc:AlternateContent>
            </w:r>
            <w:r w:rsidR="00FF2A67" w:rsidRPr="00043074">
              <w:rPr>
                <w:rFonts w:cstheme="minorHAnsi"/>
                <w:noProof/>
                <w:sz w:val="16"/>
                <w:szCs w:val="16"/>
              </w:rPr>
              <mc:AlternateContent>
                <mc:Choice Requires="wps">
                  <w:drawing>
                    <wp:anchor distT="0" distB="0" distL="114300" distR="114300" simplePos="0" relativeHeight="251660288" behindDoc="0" locked="0" layoutInCell="1" allowOverlap="1" wp14:anchorId="6CAE3930" wp14:editId="72D4C4EB">
                      <wp:simplePos x="0" y="0"/>
                      <wp:positionH relativeFrom="column">
                        <wp:posOffset>1548130</wp:posOffset>
                      </wp:positionH>
                      <wp:positionV relativeFrom="paragraph">
                        <wp:posOffset>-7302</wp:posOffset>
                      </wp:positionV>
                      <wp:extent cx="41808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180840" cy="0"/>
                              </a:xfrm>
                              <a:prstGeom prst="line">
                                <a:avLst/>
                              </a:prstGeom>
                              <a:ln w="19050">
                                <a:solidFill>
                                  <a:srgbClr val="7B3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4576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pt,-.55pt" to="45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" strokecolor="#7b3f00" strokeweight="1.5pt">
                      <v:stroke joinstyle="miter"/>
                    </v:line>
                  </w:pict>
                </mc:Fallback>
              </mc:AlternateContent>
            </w:r>
            <w:r w:rsidR="00FF2A67" w:rsidRPr="00043074">
              <w:rPr>
                <w:rFonts w:cstheme="minorHAnsi"/>
                <w:sz w:val="16"/>
                <w:szCs w:val="16"/>
              </w:rPr>
              <w:t xml:space="preserve">Page </w:t>
            </w:r>
            <w:r w:rsidR="00FF2A67" w:rsidRPr="00043074">
              <w:rPr>
                <w:rFonts w:cstheme="minorHAnsi"/>
                <w:b/>
                <w:bCs/>
                <w:sz w:val="16"/>
                <w:szCs w:val="16"/>
              </w:rPr>
              <w:fldChar w:fldCharType="begin"/>
            </w:r>
            <w:r w:rsidR="00FF2A67" w:rsidRPr="00043074">
              <w:rPr>
                <w:rFonts w:cstheme="minorHAnsi"/>
                <w:b/>
                <w:bCs/>
                <w:sz w:val="16"/>
                <w:szCs w:val="16"/>
              </w:rPr>
              <w:instrText xml:space="preserve"> PAGE </w:instrText>
            </w:r>
            <w:r w:rsidR="00FF2A67" w:rsidRPr="00043074">
              <w:rPr>
                <w:rFonts w:cstheme="minorHAnsi"/>
                <w:b/>
                <w:bCs/>
                <w:sz w:val="16"/>
                <w:szCs w:val="16"/>
              </w:rPr>
              <w:fldChar w:fldCharType="separate"/>
            </w:r>
            <w:r w:rsidR="00773786">
              <w:rPr>
                <w:rFonts w:cstheme="minorHAnsi"/>
                <w:b/>
                <w:bCs/>
                <w:noProof/>
                <w:sz w:val="16"/>
                <w:szCs w:val="16"/>
              </w:rPr>
              <w:t>7</w:t>
            </w:r>
            <w:r w:rsidR="00FF2A67" w:rsidRPr="00043074">
              <w:rPr>
                <w:rFonts w:cstheme="minorHAnsi"/>
                <w:b/>
                <w:bCs/>
                <w:sz w:val="16"/>
                <w:szCs w:val="16"/>
              </w:rPr>
              <w:fldChar w:fldCharType="end"/>
            </w:r>
            <w:r w:rsidR="00FF2A67" w:rsidRPr="00043074">
              <w:rPr>
                <w:rFonts w:cstheme="minorHAnsi"/>
                <w:sz w:val="16"/>
                <w:szCs w:val="16"/>
              </w:rPr>
              <w:t xml:space="preserve"> of </w:t>
            </w:r>
            <w:r w:rsidR="003C27B9">
              <w:rPr>
                <w:rFonts w:cstheme="minorHAnsi"/>
                <w:b/>
                <w:bCs/>
                <w:sz w:val="16"/>
                <w:szCs w:val="16"/>
              </w:rPr>
              <w:t>2</w:t>
            </w:r>
            <w:r w:rsidR="004351BC">
              <w:rPr>
                <w:rFonts w:cstheme="minorHAnsi"/>
                <w:b/>
                <w:bCs/>
                <w:sz w:val="16"/>
                <w:szCs w:val="16"/>
              </w:rPr>
              <w:t>2</w:t>
            </w:r>
            <w:r w:rsidR="00FF2A67">
              <w:rPr>
                <w:rFonts w:ascii="Corbel" w:hAnsi="Corbel"/>
                <w:b/>
                <w:bCs/>
                <w:sz w:val="18"/>
                <w:szCs w:val="18"/>
              </w:rPr>
              <w:t xml:space="preserve"> </w:t>
            </w:r>
          </w:p>
        </w:sdtContent>
      </w:sdt>
    </w:sdtContent>
  </w:sdt>
  <w:p w14:paraId="1305947C" w14:textId="77777777" w:rsidR="00FF2A67" w:rsidRDefault="0068041E" w:rsidP="0068041E">
    <w:pPr>
      <w:pStyle w:val="Footer"/>
      <w:tabs>
        <w:tab w:val="clear" w:pos="4680"/>
        <w:tab w:val="clear" w:pos="9360"/>
        <w:tab w:val="left" w:pos="2956"/>
        <w:tab w:val="left" w:pos="3027"/>
      </w:tabs>
    </w:pPr>
    <w:r>
      <w:tab/>
    </w:r>
    <w:r>
      <w:tab/>
    </w:r>
  </w:p>
  <w:p w14:paraId="581E2612" w14:textId="77777777" w:rsidR="00FF2A67" w:rsidRPr="00785A75" w:rsidRDefault="00FF2A67" w:rsidP="00FF2A67">
    <w:pPr>
      <w:pStyle w:val="Footer"/>
    </w:pPr>
  </w:p>
  <w:p w14:paraId="17A77641" w14:textId="77777777" w:rsidR="006D7633" w:rsidRPr="00FF2A67" w:rsidRDefault="006D7633" w:rsidP="00FF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4D3F" w14:textId="77777777" w:rsidR="00831A72" w:rsidRDefault="00831A72">
      <w:pPr>
        <w:spacing w:after="0" w:line="240" w:lineRule="auto"/>
      </w:pPr>
      <w:r>
        <w:separator/>
      </w:r>
    </w:p>
  </w:footnote>
  <w:footnote w:type="continuationSeparator" w:id="0">
    <w:p w14:paraId="2A831BD8" w14:textId="77777777" w:rsidR="00831A72" w:rsidRDefault="00831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800B" w14:textId="3C09B780" w:rsidR="006D7633" w:rsidRDefault="004351BC">
    <w:pPr>
      <w:pBdr>
        <w:top w:val="nil"/>
        <w:left w:val="nil"/>
        <w:bottom w:val="nil"/>
        <w:right w:val="nil"/>
        <w:between w:val="nil"/>
      </w:pBdr>
      <w:tabs>
        <w:tab w:val="center" w:pos="4680"/>
        <w:tab w:val="right" w:pos="9360"/>
      </w:tabs>
      <w:spacing w:after="0" w:line="240" w:lineRule="auto"/>
      <w:ind w:left="-709"/>
      <w:rPr>
        <w:color w:val="000000"/>
        <w:sz w:val="14"/>
        <w:szCs w:val="14"/>
      </w:rPr>
    </w:pPr>
    <w:r>
      <w:rPr>
        <w:color w:val="000000"/>
        <w:sz w:val="14"/>
        <w:szCs w:val="14"/>
      </w:rPr>
      <w:t>Cherly Elisabeth</w:t>
    </w:r>
    <w:r w:rsidR="004A511C">
      <w:rPr>
        <w:color w:val="000000"/>
        <w:sz w:val="14"/>
        <w:szCs w:val="14"/>
      </w:rPr>
      <w:t xml:space="preserve">, </w:t>
    </w:r>
    <w:r w:rsidR="004A511C">
      <w:rPr>
        <w:i/>
        <w:color w:val="000000"/>
        <w:sz w:val="14"/>
        <w:szCs w:val="14"/>
      </w:rPr>
      <w:t>Golden Ratio of Taxation Studies</w:t>
    </w:r>
    <w:r w:rsidR="004A511C">
      <w:rPr>
        <w:color w:val="000000"/>
        <w:sz w:val="14"/>
        <w:szCs w:val="14"/>
      </w:rPr>
      <w:t>, Vol.</w:t>
    </w:r>
    <w:r w:rsidR="00D226D6">
      <w:rPr>
        <w:color w:val="000000"/>
        <w:sz w:val="14"/>
        <w:szCs w:val="14"/>
      </w:rPr>
      <w:t>3</w:t>
    </w:r>
    <w:r w:rsidR="004A511C">
      <w:rPr>
        <w:color w:val="000000"/>
        <w:sz w:val="14"/>
        <w:szCs w:val="14"/>
      </w:rPr>
      <w:t xml:space="preserve">, Issue. </w:t>
    </w:r>
    <w:r w:rsidR="00B16009">
      <w:rPr>
        <w:color w:val="000000"/>
        <w:sz w:val="14"/>
        <w:szCs w:val="14"/>
      </w:rPr>
      <w:t>1</w:t>
    </w:r>
    <w:r w:rsidR="004A511C">
      <w:rPr>
        <w:color w:val="000000"/>
        <w:sz w:val="14"/>
        <w:szCs w:val="14"/>
      </w:rPr>
      <w:t xml:space="preserve"> (202</w:t>
    </w:r>
    <w:r w:rsidR="00D226D6">
      <w:rPr>
        <w:color w:val="000000"/>
        <w:sz w:val="14"/>
        <w:szCs w:val="14"/>
      </w:rPr>
      <w:t>3</w:t>
    </w:r>
    <w:r w:rsidR="004A511C">
      <w:rPr>
        <w:color w:val="000000"/>
        <w:sz w:val="14"/>
        <w:szCs w:val="14"/>
      </w:rPr>
      <w:t xml:space="preserve">) </w:t>
    </w:r>
    <w:r w:rsidR="004A511C">
      <w:rPr>
        <w:noProof/>
      </w:rPr>
      <w:drawing>
        <wp:anchor distT="0" distB="0" distL="0" distR="0" simplePos="0" relativeHeight="251658240" behindDoc="0" locked="0" layoutInCell="1" hidden="0" allowOverlap="1" wp14:anchorId="5FE552EC" wp14:editId="7BAB1427">
          <wp:simplePos x="0" y="0"/>
          <wp:positionH relativeFrom="column">
            <wp:posOffset>4879763</wp:posOffset>
          </wp:positionH>
          <wp:positionV relativeFrom="paragraph">
            <wp:posOffset>-68579</wp:posOffset>
          </wp:positionV>
          <wp:extent cx="885190" cy="359410"/>
          <wp:effectExtent l="0" t="0" r="0" b="0"/>
          <wp:wrapSquare wrapText="bothSides" distT="0" distB="0" distL="0" distR="0"/>
          <wp:docPr id="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85190" cy="359410"/>
                  </a:xfrm>
                  <a:prstGeom prst="rect">
                    <a:avLst/>
                  </a:prstGeom>
                  <a:ln/>
                </pic:spPr>
              </pic:pic>
            </a:graphicData>
          </a:graphic>
        </wp:anchor>
      </w:drawing>
    </w:r>
  </w:p>
  <w:p w14:paraId="6DFF2BAA" w14:textId="395D7920" w:rsidR="006D7633" w:rsidRDefault="004351BC">
    <w:pPr>
      <w:pBdr>
        <w:top w:val="nil"/>
        <w:left w:val="nil"/>
        <w:bottom w:val="nil"/>
        <w:right w:val="nil"/>
        <w:between w:val="nil"/>
      </w:pBdr>
      <w:tabs>
        <w:tab w:val="center" w:pos="4680"/>
        <w:tab w:val="right" w:pos="9360"/>
      </w:tabs>
      <w:spacing w:after="0" w:line="240" w:lineRule="auto"/>
      <w:ind w:left="-709"/>
      <w:rPr>
        <w:color w:val="000000"/>
        <w:sz w:val="14"/>
        <w:szCs w:val="14"/>
      </w:rPr>
    </w:pPr>
    <w:hyperlink r:id="rId2" w:history="1">
      <w:r w:rsidRPr="00E56CBD">
        <w:rPr>
          <w:rStyle w:val="Hyperlink"/>
          <w:sz w:val="14"/>
          <w:szCs w:val="14"/>
        </w:rPr>
        <w:t xml:space="preserve">https://doi.org/10.52970/10.52970/grts.v3i1.297 </w:t>
      </w:r>
    </w:hyperlink>
  </w:p>
  <w:p w14:paraId="713B1AC1" w14:textId="77777777" w:rsidR="006D7633" w:rsidRDefault="006D7633">
    <w:pPr>
      <w:pBdr>
        <w:top w:val="nil"/>
        <w:left w:val="nil"/>
        <w:bottom w:val="nil"/>
        <w:right w:val="nil"/>
        <w:between w:val="nil"/>
      </w:pBdr>
      <w:tabs>
        <w:tab w:val="center" w:pos="4680"/>
        <w:tab w:val="right" w:pos="9360"/>
      </w:tabs>
      <w:spacing w:after="0" w:line="240" w:lineRule="auto"/>
      <w:ind w:left="-709"/>
      <w:rPr>
        <w:color w:val="000000"/>
        <w:sz w:val="14"/>
        <w:szCs w:val="14"/>
      </w:rPr>
    </w:pPr>
  </w:p>
  <w:p w14:paraId="037E6404" w14:textId="77777777" w:rsidR="006D7633" w:rsidRDefault="004A511C">
    <w:pPr>
      <w:pBdr>
        <w:top w:val="nil"/>
        <w:left w:val="nil"/>
        <w:bottom w:val="nil"/>
        <w:right w:val="nil"/>
        <w:between w:val="nil"/>
      </w:pBdr>
      <w:tabs>
        <w:tab w:val="center" w:pos="4680"/>
        <w:tab w:val="right" w:pos="9360"/>
      </w:tabs>
      <w:spacing w:after="0" w:line="240" w:lineRule="auto"/>
      <w:ind w:left="-709"/>
      <w:rPr>
        <w:color w:val="000000"/>
        <w:sz w:val="14"/>
        <w:szCs w:val="14"/>
      </w:rPr>
    </w:pPr>
    <w:r>
      <w:rPr>
        <w:color w:val="000000"/>
        <w:sz w:val="14"/>
        <w:szCs w:val="14"/>
      </w:rPr>
      <w:t xml:space="preserve">Website: </w:t>
    </w:r>
    <w:hyperlink r:id="rId3">
      <w:r>
        <w:rPr>
          <w:color w:val="0563C1"/>
          <w:sz w:val="14"/>
          <w:szCs w:val="14"/>
          <w:u w:val="single"/>
        </w:rPr>
        <w:t>https://goldenratio.id/index.php/grts/index</w:t>
      </w:r>
    </w:hyperlink>
    <w:r>
      <w:rPr>
        <w:color w:val="000000"/>
        <w:sz w:val="14"/>
        <w:szCs w:val="14"/>
      </w:rPr>
      <w:t xml:space="preserve"> </w:t>
    </w:r>
    <w:r>
      <w:rPr>
        <w:color w:val="000000"/>
        <w:sz w:val="14"/>
        <w:szCs w:val="14"/>
      </w:rPr>
      <w:tab/>
    </w:r>
    <w:r>
      <w:rPr>
        <w:color w:val="000000"/>
        <w:sz w:val="14"/>
        <w:szCs w:val="14"/>
      </w:rPr>
      <w:tab/>
      <w:t xml:space="preserve">ISSN [Online] </w:t>
    </w:r>
    <w:hyperlink r:id="rId4">
      <w:r>
        <w:rPr>
          <w:color w:val="0563C1"/>
          <w:sz w:val="14"/>
          <w:szCs w:val="14"/>
          <w:u w:val="single"/>
        </w:rPr>
        <w:t>2776-7868</w:t>
      </w:r>
    </w:hyperlink>
    <w:r>
      <w:rPr>
        <w:color w:val="000000"/>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4B2F"/>
    <w:multiLevelType w:val="multilevel"/>
    <w:tmpl w:val="079672F4"/>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 w15:restartNumberingAfterBreak="0">
    <w:nsid w:val="1A712406"/>
    <w:multiLevelType w:val="multilevel"/>
    <w:tmpl w:val="4CC6A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A100B9"/>
    <w:multiLevelType w:val="multilevel"/>
    <w:tmpl w:val="B91CE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7758E4"/>
    <w:multiLevelType w:val="multilevel"/>
    <w:tmpl w:val="D0A01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6B7815"/>
    <w:multiLevelType w:val="multilevel"/>
    <w:tmpl w:val="FC2816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CE75476"/>
    <w:multiLevelType w:val="multilevel"/>
    <w:tmpl w:val="F3B64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7C2225"/>
    <w:multiLevelType w:val="multilevel"/>
    <w:tmpl w:val="7C264D78"/>
    <w:lvl w:ilvl="0">
      <w:start w:val="1"/>
      <w:numFmt w:val="decimal"/>
      <w:lvlText w:val="%1."/>
      <w:lvlJc w:val="left"/>
      <w:pPr>
        <w:ind w:left="2770" w:hanging="360"/>
      </w:pPr>
      <w:rPr>
        <w:rFonts w:ascii="Calibri" w:eastAsia="Calibri" w:hAnsi="Calibri" w:cs="Calibri"/>
        <w:b/>
        <w:color w:val="7B3F00"/>
        <w:sz w:val="22"/>
        <w:szCs w:val="22"/>
      </w:rPr>
    </w:lvl>
    <w:lvl w:ilvl="1">
      <w:start w:val="1"/>
      <w:numFmt w:val="decimal"/>
      <w:lvlText w:val="%1.%2."/>
      <w:lvlJc w:val="left"/>
      <w:pPr>
        <w:ind w:left="2770" w:hanging="360"/>
      </w:pPr>
      <w:rPr>
        <w:rFonts w:ascii="Calibri" w:eastAsia="Calibri" w:hAnsi="Calibri" w:cs="Calibri"/>
        <w:i/>
        <w:color w:val="7B3F00"/>
      </w:rPr>
    </w:lvl>
    <w:lvl w:ilvl="2">
      <w:start w:val="1"/>
      <w:numFmt w:val="decimal"/>
      <w:lvlText w:val="%1.%2.%3."/>
      <w:lvlJc w:val="left"/>
      <w:pPr>
        <w:ind w:left="3130" w:hanging="720"/>
      </w:pPr>
    </w:lvl>
    <w:lvl w:ilvl="3">
      <w:start w:val="1"/>
      <w:numFmt w:val="decimal"/>
      <w:lvlText w:val="%1.%2.%3.%4."/>
      <w:lvlJc w:val="left"/>
      <w:pPr>
        <w:ind w:left="3130" w:hanging="720"/>
      </w:pPr>
    </w:lvl>
    <w:lvl w:ilvl="4">
      <w:start w:val="1"/>
      <w:numFmt w:val="decimal"/>
      <w:lvlText w:val="%1.%2.%3.%4.%5."/>
      <w:lvlJc w:val="left"/>
      <w:pPr>
        <w:ind w:left="3490" w:hanging="1080"/>
      </w:pPr>
    </w:lvl>
    <w:lvl w:ilvl="5">
      <w:start w:val="1"/>
      <w:numFmt w:val="decimal"/>
      <w:lvlText w:val="%1.%2.%3.%4.%5.%6."/>
      <w:lvlJc w:val="left"/>
      <w:pPr>
        <w:ind w:left="3490" w:hanging="1080"/>
      </w:pPr>
    </w:lvl>
    <w:lvl w:ilvl="6">
      <w:start w:val="1"/>
      <w:numFmt w:val="decimal"/>
      <w:lvlText w:val="%1.%2.%3.%4.%5.%6.%7."/>
      <w:lvlJc w:val="left"/>
      <w:pPr>
        <w:ind w:left="3490" w:hanging="1080"/>
      </w:pPr>
    </w:lvl>
    <w:lvl w:ilvl="7">
      <w:start w:val="1"/>
      <w:numFmt w:val="decimal"/>
      <w:lvlText w:val="%1.%2.%3.%4.%5.%6.%7.%8."/>
      <w:lvlJc w:val="left"/>
      <w:pPr>
        <w:ind w:left="3850" w:hanging="1440"/>
      </w:pPr>
    </w:lvl>
    <w:lvl w:ilvl="8">
      <w:start w:val="1"/>
      <w:numFmt w:val="decimal"/>
      <w:lvlText w:val="%1.%2.%3.%4.%5.%6.%7.%8.%9."/>
      <w:lvlJc w:val="left"/>
      <w:pPr>
        <w:ind w:left="3850" w:hanging="1440"/>
      </w:pPr>
    </w:lvl>
  </w:abstractNum>
  <w:abstractNum w:abstractNumId="7" w15:restartNumberingAfterBreak="0">
    <w:nsid w:val="321B78ED"/>
    <w:multiLevelType w:val="multilevel"/>
    <w:tmpl w:val="E2B49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E519BA"/>
    <w:multiLevelType w:val="multilevel"/>
    <w:tmpl w:val="66542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B72FF"/>
    <w:multiLevelType w:val="multilevel"/>
    <w:tmpl w:val="ECF0551C"/>
    <w:lvl w:ilvl="0">
      <w:start w:val="1"/>
      <w:numFmt w:val="decimal"/>
      <w:lvlText w:val="%1."/>
      <w:lvlJc w:val="left"/>
      <w:pPr>
        <w:ind w:left="677" w:hanging="360"/>
      </w:p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10" w15:restartNumberingAfterBreak="0">
    <w:nsid w:val="3D6A39EA"/>
    <w:multiLevelType w:val="multilevel"/>
    <w:tmpl w:val="FD2AE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E227EE"/>
    <w:multiLevelType w:val="multilevel"/>
    <w:tmpl w:val="05E80462"/>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2" w15:restartNumberingAfterBreak="0">
    <w:nsid w:val="4F2E4FD3"/>
    <w:multiLevelType w:val="multilevel"/>
    <w:tmpl w:val="11F401FC"/>
    <w:lvl w:ilvl="0">
      <w:start w:val="1"/>
      <w:numFmt w:val="decimal"/>
      <w:lvlText w:val="%1."/>
      <w:lvlJc w:val="left"/>
      <w:pPr>
        <w:ind w:left="950" w:hanging="360"/>
      </w:pPr>
    </w:lvl>
    <w:lvl w:ilvl="1">
      <w:start w:val="1"/>
      <w:numFmt w:val="lowerLetter"/>
      <w:lvlText w:val="%2."/>
      <w:lvlJc w:val="left"/>
      <w:pPr>
        <w:ind w:left="1670" w:hanging="360"/>
      </w:pPr>
    </w:lvl>
    <w:lvl w:ilvl="2">
      <w:start w:val="1"/>
      <w:numFmt w:val="lowerRoman"/>
      <w:lvlText w:val="%3."/>
      <w:lvlJc w:val="right"/>
      <w:pPr>
        <w:ind w:left="2390" w:hanging="180"/>
      </w:pPr>
    </w:lvl>
    <w:lvl w:ilvl="3">
      <w:start w:val="1"/>
      <w:numFmt w:val="decimal"/>
      <w:lvlText w:val="%4."/>
      <w:lvlJc w:val="left"/>
      <w:pPr>
        <w:ind w:left="3110" w:hanging="360"/>
      </w:pPr>
    </w:lvl>
    <w:lvl w:ilvl="4">
      <w:start w:val="1"/>
      <w:numFmt w:val="lowerLetter"/>
      <w:lvlText w:val="%5."/>
      <w:lvlJc w:val="left"/>
      <w:pPr>
        <w:ind w:left="3830" w:hanging="360"/>
      </w:pPr>
    </w:lvl>
    <w:lvl w:ilvl="5">
      <w:start w:val="1"/>
      <w:numFmt w:val="lowerRoman"/>
      <w:lvlText w:val="%6."/>
      <w:lvlJc w:val="right"/>
      <w:pPr>
        <w:ind w:left="4550" w:hanging="180"/>
      </w:pPr>
    </w:lvl>
    <w:lvl w:ilvl="6">
      <w:start w:val="1"/>
      <w:numFmt w:val="decimal"/>
      <w:lvlText w:val="%7."/>
      <w:lvlJc w:val="left"/>
      <w:pPr>
        <w:ind w:left="5270" w:hanging="360"/>
      </w:pPr>
    </w:lvl>
    <w:lvl w:ilvl="7">
      <w:start w:val="1"/>
      <w:numFmt w:val="lowerLetter"/>
      <w:lvlText w:val="%8."/>
      <w:lvlJc w:val="left"/>
      <w:pPr>
        <w:ind w:left="5990" w:hanging="360"/>
      </w:pPr>
    </w:lvl>
    <w:lvl w:ilvl="8">
      <w:start w:val="1"/>
      <w:numFmt w:val="lowerRoman"/>
      <w:lvlText w:val="%9."/>
      <w:lvlJc w:val="right"/>
      <w:pPr>
        <w:ind w:left="6710" w:hanging="180"/>
      </w:pPr>
    </w:lvl>
  </w:abstractNum>
  <w:abstractNum w:abstractNumId="13" w15:restartNumberingAfterBreak="0">
    <w:nsid w:val="67A913B1"/>
    <w:multiLevelType w:val="multilevel"/>
    <w:tmpl w:val="569AD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346AD9"/>
    <w:multiLevelType w:val="multilevel"/>
    <w:tmpl w:val="AB10F9D2"/>
    <w:lvl w:ilvl="0">
      <w:start w:val="1"/>
      <w:numFmt w:val="decimal"/>
      <w:lvlText w:val="%1."/>
      <w:lvlJc w:val="left"/>
      <w:pPr>
        <w:ind w:left="720" w:hanging="360"/>
      </w:pPr>
    </w:lvl>
    <w:lvl w:ilvl="1">
      <w:start w:val="1"/>
      <w:numFmt w:val="lowerLetter"/>
      <w:lvlText w:val="%2."/>
      <w:lvlJc w:val="left"/>
      <w:pPr>
        <w:ind w:left="1440" w:hanging="360"/>
      </w:pPr>
      <w:rPr>
        <w:rFonts w:ascii="Trebuchet MS" w:eastAsia="Trebuchet MS" w:hAnsi="Trebuchet MS" w:cs="Trebuchet M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345007"/>
    <w:multiLevelType w:val="multilevel"/>
    <w:tmpl w:val="AECC38D6"/>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16" w15:restartNumberingAfterBreak="0">
    <w:nsid w:val="70257F82"/>
    <w:multiLevelType w:val="multilevel"/>
    <w:tmpl w:val="F5EAD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B45685"/>
    <w:multiLevelType w:val="multilevel"/>
    <w:tmpl w:val="E124E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1B0276"/>
    <w:multiLevelType w:val="multilevel"/>
    <w:tmpl w:val="358C9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2050263">
    <w:abstractNumId w:val="4"/>
  </w:num>
  <w:num w:numId="2" w16cid:durableId="1345018609">
    <w:abstractNumId w:val="2"/>
  </w:num>
  <w:num w:numId="3" w16cid:durableId="822040963">
    <w:abstractNumId w:val="10"/>
  </w:num>
  <w:num w:numId="4" w16cid:durableId="1820264924">
    <w:abstractNumId w:val="14"/>
  </w:num>
  <w:num w:numId="5" w16cid:durableId="290088147">
    <w:abstractNumId w:val="12"/>
  </w:num>
  <w:num w:numId="6" w16cid:durableId="1275869012">
    <w:abstractNumId w:val="8"/>
  </w:num>
  <w:num w:numId="7" w16cid:durableId="1699237080">
    <w:abstractNumId w:val="3"/>
  </w:num>
  <w:num w:numId="8" w16cid:durableId="211818475">
    <w:abstractNumId w:val="11"/>
  </w:num>
  <w:num w:numId="9" w16cid:durableId="74018416">
    <w:abstractNumId w:val="9"/>
  </w:num>
  <w:num w:numId="10" w16cid:durableId="1026832672">
    <w:abstractNumId w:val="0"/>
  </w:num>
  <w:num w:numId="11" w16cid:durableId="1776710890">
    <w:abstractNumId w:val="16"/>
  </w:num>
  <w:num w:numId="12" w16cid:durableId="1469349674">
    <w:abstractNumId w:val="1"/>
  </w:num>
  <w:num w:numId="13" w16cid:durableId="320622549">
    <w:abstractNumId w:val="6"/>
  </w:num>
  <w:num w:numId="14" w16cid:durableId="1842357707">
    <w:abstractNumId w:val="15"/>
  </w:num>
  <w:num w:numId="15" w16cid:durableId="951590199">
    <w:abstractNumId w:val="5"/>
  </w:num>
  <w:num w:numId="16" w16cid:durableId="1829395293">
    <w:abstractNumId w:val="13"/>
  </w:num>
  <w:num w:numId="17" w16cid:durableId="2079129697">
    <w:abstractNumId w:val="17"/>
  </w:num>
  <w:num w:numId="18" w16cid:durableId="198324012">
    <w:abstractNumId w:val="18"/>
  </w:num>
  <w:num w:numId="19" w16cid:durableId="715355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0s7QwMba0MDc1MDRX0lEKTi0uzszPAykwrAUAt+yMzCwAAAA="/>
  </w:docVars>
  <w:rsids>
    <w:rsidRoot w:val="006D7633"/>
    <w:rsid w:val="0004495E"/>
    <w:rsid w:val="001B0591"/>
    <w:rsid w:val="002D21F0"/>
    <w:rsid w:val="003424FC"/>
    <w:rsid w:val="00385E8D"/>
    <w:rsid w:val="003B1119"/>
    <w:rsid w:val="003C27B9"/>
    <w:rsid w:val="003E63A7"/>
    <w:rsid w:val="004351BC"/>
    <w:rsid w:val="004A511C"/>
    <w:rsid w:val="004D2D5F"/>
    <w:rsid w:val="0068041E"/>
    <w:rsid w:val="006C118C"/>
    <w:rsid w:val="006D7633"/>
    <w:rsid w:val="006F5130"/>
    <w:rsid w:val="00773786"/>
    <w:rsid w:val="007923E3"/>
    <w:rsid w:val="00831A72"/>
    <w:rsid w:val="008C7668"/>
    <w:rsid w:val="00956D3A"/>
    <w:rsid w:val="009B6760"/>
    <w:rsid w:val="00AF425A"/>
    <w:rsid w:val="00B16009"/>
    <w:rsid w:val="00B7341B"/>
    <w:rsid w:val="00C20819"/>
    <w:rsid w:val="00C53219"/>
    <w:rsid w:val="00C556A4"/>
    <w:rsid w:val="00C6539B"/>
    <w:rsid w:val="00D226D6"/>
    <w:rsid w:val="00D3538A"/>
    <w:rsid w:val="00E41FDB"/>
    <w:rsid w:val="00EE4A52"/>
    <w:rsid w:val="00F3390E"/>
    <w:rsid w:val="00F40135"/>
    <w:rsid w:val="00FF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C951"/>
  <w15:docId w15:val="{344161BE-879D-4677-B6C8-EEA8EBFF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7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FE"/>
  </w:style>
  <w:style w:type="paragraph" w:styleId="Footer">
    <w:name w:val="footer"/>
    <w:basedOn w:val="Normal"/>
    <w:link w:val="FooterChar"/>
    <w:uiPriority w:val="99"/>
    <w:unhideWhenUsed/>
    <w:rsid w:val="00A7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FE"/>
  </w:style>
  <w:style w:type="character" w:styleId="Hyperlink">
    <w:name w:val="Hyperlink"/>
    <w:basedOn w:val="DefaultParagraphFont"/>
    <w:uiPriority w:val="99"/>
    <w:unhideWhenUsed/>
    <w:rsid w:val="00A704FE"/>
    <w:rPr>
      <w:color w:val="0563C1" w:themeColor="hyperlink"/>
      <w:u w:val="single"/>
    </w:rPr>
  </w:style>
  <w:style w:type="character" w:customStyle="1" w:styleId="UnresolvedMention1">
    <w:name w:val="Unresolved Mention1"/>
    <w:basedOn w:val="DefaultParagraphFont"/>
    <w:uiPriority w:val="99"/>
    <w:semiHidden/>
    <w:unhideWhenUsed/>
    <w:rsid w:val="00A704FE"/>
    <w:rPr>
      <w:color w:val="605E5C"/>
      <w:shd w:val="clear" w:color="auto" w:fill="E1DFDD"/>
    </w:rPr>
  </w:style>
  <w:style w:type="paragraph" w:styleId="ListParagraph">
    <w:name w:val="List Paragraph"/>
    <w:aliases w:val="Body of text"/>
    <w:basedOn w:val="Normal"/>
    <w:link w:val="ListParagraphChar"/>
    <w:qFormat/>
    <w:rsid w:val="00A704FE"/>
    <w:pPr>
      <w:ind w:left="720"/>
      <w:contextualSpacing/>
    </w:pPr>
  </w:style>
  <w:style w:type="table" w:styleId="TableGrid">
    <w:name w:val="Table Grid"/>
    <w:basedOn w:val="TableNormal"/>
    <w:uiPriority w:val="39"/>
    <w:rsid w:val="002348C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basedOn w:val="DefaultParagraphFont"/>
    <w:link w:val="ListParagraph"/>
    <w:qFormat/>
    <w:locked/>
    <w:rsid w:val="008B6F3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3E63A7"/>
    <w:pPr>
      <w:widowControl w:val="0"/>
      <w:autoSpaceDE w:val="0"/>
      <w:autoSpaceDN w:val="0"/>
      <w:spacing w:before="3" w:after="0" w:line="247" w:lineRule="exact"/>
      <w:jc w:val="right"/>
    </w:pPr>
    <w:rPr>
      <w:rFonts w:ascii="Times New Roman" w:eastAsia="Times New Roman" w:hAnsi="Times New Roman" w:cs="Times New Roman"/>
      <w:lang w:val="en"/>
    </w:rPr>
  </w:style>
  <w:style w:type="character" w:styleId="UnresolvedMention">
    <w:name w:val="Unresolved Mention"/>
    <w:basedOn w:val="DefaultParagraphFont"/>
    <w:uiPriority w:val="99"/>
    <w:semiHidden/>
    <w:unhideWhenUsed/>
    <w:rsid w:val="00B16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rlysieger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erlysiegers@gmail.com" TargetMode="External"/><Relationship Id="rId4" Type="http://schemas.openxmlformats.org/officeDocument/2006/relationships/settings" Target="settings.xml"/><Relationship Id="rId9" Type="http://schemas.openxmlformats.org/officeDocument/2006/relationships/hyperlink" Target="mailto:cherlysiegers@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sa/4.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goldenratio.id/index.php/grts/index" TargetMode="External"/><Relationship Id="rId2" Type="http://schemas.openxmlformats.org/officeDocument/2006/relationships/hyperlink" Target="https://doi.org/10.52970/10.52970/grts.v3i1.297%20" TargetMode="External"/><Relationship Id="rId1" Type="http://schemas.openxmlformats.org/officeDocument/2006/relationships/image" Target="media/image2.png"/><Relationship Id="rId4" Type="http://schemas.openxmlformats.org/officeDocument/2006/relationships/hyperlink" Target="https://issn.lipi.go.id/terbit/detail/2021042648016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aSIloOV0aFCzhkYyieX8xaBiA==">AMUW2mVPX7zdwPIRao2e7fBbMLal1OgKd+sQlzVVdAuNIdscKSRjtpcGLnGR21uftrk1D3niJYvC7Az2omqYVWc2I76/E8pkYseSbW2Uj4zetj5NczGDNok=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4270</Words>
  <Characters>24343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 Halim Putra</dc:creator>
  <cp:lastModifiedBy>Aditya Halim Putra</cp:lastModifiedBy>
  <cp:revision>4</cp:revision>
  <dcterms:created xsi:type="dcterms:W3CDTF">2023-06-17T16:28:00Z</dcterms:created>
  <dcterms:modified xsi:type="dcterms:W3CDTF">2023-06-17T16:30:00Z</dcterms:modified>
</cp:coreProperties>
</file>