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91536" w14:textId="1DBA7436" w:rsidR="006D7633" w:rsidRDefault="00B16009">
      <w:pPr>
        <w:ind w:left="2410"/>
      </w:pPr>
      <w:r>
        <w:rPr>
          <w:noProof/>
        </w:rPr>
        <w:drawing>
          <wp:anchor distT="0" distB="0" distL="114300" distR="114300" simplePos="0" relativeHeight="251658240" behindDoc="0" locked="0" layoutInCell="1" hidden="0" allowOverlap="1" wp14:anchorId="2EC2442F" wp14:editId="1FB366BE">
            <wp:simplePos x="0" y="0"/>
            <wp:positionH relativeFrom="column">
              <wp:posOffset>-541325</wp:posOffset>
            </wp:positionH>
            <wp:positionV relativeFrom="paragraph">
              <wp:posOffset>321869</wp:posOffset>
            </wp:positionV>
            <wp:extent cx="1630558" cy="2306452"/>
            <wp:effectExtent l="0" t="0" r="8255" b="0"/>
            <wp:wrapNone/>
            <wp:docPr id="275" name="image2.jpg"/>
            <wp:cNvGraphicFramePr/>
            <a:graphic xmlns:a="http://schemas.openxmlformats.org/drawingml/2006/main">
              <a:graphicData uri="http://schemas.openxmlformats.org/drawingml/2006/picture">
                <pic:pic xmlns:pic="http://schemas.openxmlformats.org/drawingml/2006/picture">
                  <pic:nvPicPr>
                    <pic:cNvPr id="275" name="image2.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630558" cy="2306452"/>
                    </a:xfrm>
                    <a:prstGeom prst="rect">
                      <a:avLst/>
                    </a:prstGeom>
                    <a:ln/>
                  </pic:spPr>
                </pic:pic>
              </a:graphicData>
            </a:graphic>
          </wp:anchor>
        </w:drawing>
      </w:r>
    </w:p>
    <w:p w14:paraId="798F8245" w14:textId="0532E6A1" w:rsidR="006D7633" w:rsidRPr="00FF2A67" w:rsidRDefault="00B16009">
      <w:pPr>
        <w:ind w:left="2410"/>
        <w:rPr>
          <w:color w:val="7B3F00"/>
        </w:rPr>
      </w:pPr>
      <w:r>
        <w:rPr>
          <w:noProof/>
          <w:color w:val="7B3F00"/>
        </w:rPr>
        <mc:AlternateContent>
          <mc:Choice Requires="wps">
            <w:drawing>
              <wp:anchor distT="0" distB="0" distL="114300" distR="114300" simplePos="0" relativeHeight="251662336" behindDoc="0" locked="0" layoutInCell="1" allowOverlap="1" wp14:anchorId="794F5758" wp14:editId="01358E76">
                <wp:simplePos x="0" y="0"/>
                <wp:positionH relativeFrom="column">
                  <wp:posOffset>1318437</wp:posOffset>
                </wp:positionH>
                <wp:positionV relativeFrom="paragraph">
                  <wp:posOffset>33226</wp:posOffset>
                </wp:positionV>
                <wp:extent cx="0" cy="4550735"/>
                <wp:effectExtent l="0" t="0" r="38100" b="21590"/>
                <wp:wrapNone/>
                <wp:docPr id="4" name="Straight Connector 4"/>
                <wp:cNvGraphicFramePr/>
                <a:graphic xmlns:a="http://schemas.openxmlformats.org/drawingml/2006/main">
                  <a:graphicData uri="http://schemas.microsoft.com/office/word/2010/wordprocessingShape">
                    <wps:wsp>
                      <wps:cNvCnPr/>
                      <wps:spPr>
                        <a:xfrm>
                          <a:off x="0" y="0"/>
                          <a:ext cx="0" cy="4550735"/>
                        </a:xfrm>
                        <a:prstGeom prst="line">
                          <a:avLst/>
                        </a:prstGeom>
                        <a:noFill/>
                        <a:ln w="15875" cap="flat" cmpd="sng">
                          <a:solidFill>
                            <a:srgbClr val="7B3F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6CDDE0C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2.6pt" to="103.8pt,3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" strokecolor="#7b3f00" strokeweight="1.25pt">
                <v:stroke startarrowwidth="narrow" startarrowlength="short" endarrowwidth="narrow" endarrowlength="short" joinstyle="miter"/>
              </v:line>
            </w:pict>
          </mc:Fallback>
        </mc:AlternateContent>
      </w:r>
      <w:r w:rsidR="004A511C" w:rsidRPr="00FF2A67">
        <w:rPr>
          <w:color w:val="7B3F00"/>
        </w:rPr>
        <w:t xml:space="preserve">TAXATION STUDIES | RESEARCH ARTICLE </w:t>
      </w:r>
    </w:p>
    <w:p w14:paraId="1185801D" w14:textId="12C8F7C2" w:rsidR="00D3538A" w:rsidRDefault="000857E1">
      <w:pPr>
        <w:ind w:left="2410"/>
        <w:rPr>
          <w:rFonts w:ascii="Corbel" w:eastAsia="Corbel" w:hAnsi="Corbel" w:cs="Corbel"/>
          <w:b/>
          <w:sz w:val="30"/>
          <w:szCs w:val="30"/>
        </w:rPr>
      </w:pPr>
      <w:r w:rsidRPr="000857E1">
        <w:rPr>
          <w:rFonts w:ascii="Corbel" w:eastAsia="Corbel" w:hAnsi="Corbel" w:cs="Corbel"/>
          <w:b/>
          <w:sz w:val="30"/>
          <w:szCs w:val="30"/>
        </w:rPr>
        <w:t>Success of Progressive Tax Policies in Reducing Income Inequality</w:t>
      </w:r>
    </w:p>
    <w:p w14:paraId="49909381" w14:textId="5ED9DD36" w:rsidR="006D7633" w:rsidRDefault="004A68B0">
      <w:pPr>
        <w:ind w:left="2410"/>
        <w:rPr>
          <w:rFonts w:ascii="Corbel" w:eastAsia="Corbel" w:hAnsi="Corbel" w:cs="Corbel"/>
          <w:b/>
          <w:sz w:val="16"/>
          <w:szCs w:val="16"/>
          <w:vertAlign w:val="superscript"/>
        </w:rPr>
      </w:pPr>
      <w:r>
        <w:rPr>
          <w:rFonts w:ascii="Corbel" w:eastAsia="Corbel" w:hAnsi="Corbel" w:cs="Corbel"/>
          <w:b/>
          <w:sz w:val="16"/>
          <w:szCs w:val="16"/>
        </w:rPr>
        <w:t>Agus Supriadi</w:t>
      </w:r>
      <w:r w:rsidR="004A511C">
        <w:rPr>
          <w:rFonts w:ascii="Corbel" w:eastAsia="Corbel" w:hAnsi="Corbel" w:cs="Corbel"/>
          <w:b/>
          <w:sz w:val="16"/>
          <w:szCs w:val="16"/>
          <w:vertAlign w:val="superscript"/>
        </w:rPr>
        <w:t>*</w:t>
      </w:r>
    </w:p>
    <w:p w14:paraId="4A7793D4" w14:textId="00FE4FED" w:rsidR="00D3538A" w:rsidRDefault="00D3538A" w:rsidP="00D3538A">
      <w:pPr>
        <w:spacing w:after="0"/>
        <w:ind w:left="2410"/>
        <w:rPr>
          <w:rFonts w:ascii="Corbel" w:eastAsia="Corbel" w:hAnsi="Corbel" w:cs="Corbel"/>
          <w:sz w:val="16"/>
          <w:szCs w:val="16"/>
          <w:lang w:val="en"/>
        </w:rPr>
      </w:pPr>
      <w:r w:rsidRPr="00D3538A">
        <w:rPr>
          <w:rFonts w:ascii="Corbel" w:eastAsia="Corbel" w:hAnsi="Corbel" w:cs="Corbel"/>
          <w:sz w:val="16"/>
          <w:szCs w:val="16"/>
          <w:vertAlign w:val="superscript"/>
          <w:lang w:val="en"/>
        </w:rPr>
        <w:t>1</w:t>
      </w:r>
      <w:r w:rsidRPr="00D3538A">
        <w:rPr>
          <w:rFonts w:ascii="Corbel" w:eastAsia="Corbel" w:hAnsi="Corbel" w:cs="Corbel"/>
          <w:sz w:val="16"/>
          <w:szCs w:val="16"/>
          <w:lang w:val="en"/>
        </w:rPr>
        <w:t xml:space="preserve"> </w:t>
      </w:r>
      <w:r w:rsidR="004A68B0" w:rsidRPr="004A68B0">
        <w:rPr>
          <w:rFonts w:ascii="Corbel" w:eastAsia="Corbel" w:hAnsi="Corbel" w:cs="Corbel"/>
          <w:sz w:val="16"/>
          <w:szCs w:val="16"/>
          <w:lang w:val="en"/>
        </w:rPr>
        <w:t xml:space="preserve">Department of Management, Faculty of Economics and Business, Universitas Kristen Maranatha, Bandung, Indonesia. Email: </w:t>
      </w:r>
      <w:hyperlink r:id="rId10" w:history="1">
        <w:r w:rsidR="004A68B0" w:rsidRPr="002E0413">
          <w:rPr>
            <w:rStyle w:val="Hyperlink"/>
            <w:rFonts w:ascii="Corbel" w:eastAsia="Corbel" w:hAnsi="Corbel" w:cs="Corbel"/>
            <w:sz w:val="16"/>
            <w:szCs w:val="16"/>
            <w:lang w:val="en"/>
          </w:rPr>
          <w:t>agus.supriadi@gmail.com</w:t>
        </w:r>
      </w:hyperlink>
      <w:r w:rsidR="004A68B0">
        <w:rPr>
          <w:rFonts w:ascii="Corbel" w:eastAsia="Corbel" w:hAnsi="Corbel" w:cs="Corbel"/>
          <w:sz w:val="16"/>
          <w:szCs w:val="16"/>
          <w:lang w:val="en"/>
        </w:rPr>
        <w:t xml:space="preserve"> </w:t>
      </w:r>
      <w:r>
        <w:rPr>
          <w:rFonts w:ascii="Corbel" w:eastAsia="Corbel" w:hAnsi="Corbel" w:cs="Corbel"/>
          <w:sz w:val="16"/>
          <w:szCs w:val="16"/>
          <w:lang w:val="en"/>
        </w:rPr>
        <w:t xml:space="preserve"> </w:t>
      </w:r>
    </w:p>
    <w:p w14:paraId="686F0F4B" w14:textId="77777777" w:rsidR="00D3538A" w:rsidRPr="00D3538A" w:rsidRDefault="00D3538A" w:rsidP="00D3538A">
      <w:pPr>
        <w:spacing w:after="0"/>
        <w:ind w:left="2410"/>
        <w:rPr>
          <w:rFonts w:ascii="Corbel" w:eastAsia="Corbel" w:hAnsi="Corbel" w:cs="Corbel"/>
          <w:sz w:val="16"/>
          <w:szCs w:val="16"/>
          <w:lang w:val="en"/>
        </w:rPr>
      </w:pPr>
    </w:p>
    <w:p w14:paraId="07AAA3F0" w14:textId="11E00821" w:rsidR="006D7633" w:rsidRDefault="00FF2A67" w:rsidP="008D2FF9">
      <w:pPr>
        <w:ind w:left="2410"/>
        <w:jc w:val="both"/>
        <w:rPr>
          <w:rFonts w:ascii="EB Garamond" w:eastAsia="EB Garamond" w:hAnsi="EB Garamond" w:cs="EB Garamond"/>
          <w:color w:val="FF0000"/>
          <w:sz w:val="16"/>
          <w:szCs w:val="16"/>
        </w:rPr>
      </w:pPr>
      <w:r>
        <w:rPr>
          <w:noProof/>
        </w:rPr>
        <mc:AlternateContent>
          <mc:Choice Requires="wps">
            <w:drawing>
              <wp:anchor distT="0" distB="0" distL="114300" distR="114300" simplePos="0" relativeHeight="251660288" behindDoc="0" locked="0" layoutInCell="1" hidden="0" allowOverlap="1" wp14:anchorId="4725F75C" wp14:editId="5CD0EEA5">
                <wp:simplePos x="0" y="0"/>
                <wp:positionH relativeFrom="column">
                  <wp:posOffset>-606649</wp:posOffset>
                </wp:positionH>
                <wp:positionV relativeFrom="paragraph">
                  <wp:posOffset>827258</wp:posOffset>
                </wp:positionV>
                <wp:extent cx="1765300" cy="1807845"/>
                <wp:effectExtent l="0" t="0" r="6350" b="1905"/>
                <wp:wrapNone/>
                <wp:docPr id="270" name="Rectangle 270"/>
                <wp:cNvGraphicFramePr/>
                <a:graphic xmlns:a="http://schemas.openxmlformats.org/drawingml/2006/main">
                  <a:graphicData uri="http://schemas.microsoft.com/office/word/2010/wordprocessingShape">
                    <wps:wsp>
                      <wps:cNvSpPr/>
                      <wps:spPr>
                        <a:xfrm>
                          <a:off x="0" y="0"/>
                          <a:ext cx="1765300" cy="1807845"/>
                        </a:xfrm>
                        <a:prstGeom prst="rect">
                          <a:avLst/>
                        </a:prstGeom>
                        <a:solidFill>
                          <a:schemeClr val="lt1"/>
                        </a:solidFill>
                        <a:ln>
                          <a:noFill/>
                        </a:ln>
                      </wps:spPr>
                      <wps:txbx>
                        <w:txbxContent>
                          <w:p w14:paraId="31F7144B" w14:textId="6BA4FF12" w:rsidR="00B16009" w:rsidRDefault="00B16009" w:rsidP="00B16009">
                            <w:pPr>
                              <w:spacing w:after="0" w:line="258" w:lineRule="auto"/>
                              <w:textDirection w:val="btLr"/>
                            </w:pPr>
                            <w:r w:rsidRPr="00FF2A67">
                              <w:rPr>
                                <w:color w:val="7B3F00"/>
                                <w:sz w:val="16"/>
                              </w:rPr>
                              <w:t>Received:</w:t>
                            </w:r>
                            <w:r>
                              <w:rPr>
                                <w:color w:val="000000"/>
                                <w:sz w:val="16"/>
                              </w:rPr>
                              <w:t xml:space="preserve"> </w:t>
                            </w:r>
                            <w:r w:rsidR="005957F2">
                              <w:rPr>
                                <w:color w:val="000000"/>
                                <w:sz w:val="16"/>
                              </w:rPr>
                              <w:t>16</w:t>
                            </w:r>
                            <w:r>
                              <w:rPr>
                                <w:color w:val="000000"/>
                                <w:sz w:val="16"/>
                              </w:rPr>
                              <w:t xml:space="preserve"> </w:t>
                            </w:r>
                            <w:r w:rsidR="005957F2">
                              <w:rPr>
                                <w:color w:val="000000"/>
                                <w:sz w:val="16"/>
                              </w:rPr>
                              <w:t>January</w:t>
                            </w:r>
                            <w:r>
                              <w:rPr>
                                <w:color w:val="000000"/>
                                <w:sz w:val="16"/>
                              </w:rPr>
                              <w:t xml:space="preserve"> 202</w:t>
                            </w:r>
                            <w:r w:rsidR="005957F2">
                              <w:rPr>
                                <w:color w:val="000000"/>
                                <w:sz w:val="16"/>
                              </w:rPr>
                              <w:t>3</w:t>
                            </w:r>
                          </w:p>
                          <w:p w14:paraId="6ED261E7" w14:textId="365CE37D" w:rsidR="00B16009" w:rsidRDefault="00B16009" w:rsidP="00B16009">
                            <w:pPr>
                              <w:spacing w:after="0" w:line="258" w:lineRule="auto"/>
                              <w:textDirection w:val="btLr"/>
                            </w:pPr>
                            <w:r w:rsidRPr="00FF2A67">
                              <w:rPr>
                                <w:color w:val="7B3F00"/>
                                <w:sz w:val="16"/>
                              </w:rPr>
                              <w:t>Revised:</w:t>
                            </w:r>
                            <w:r>
                              <w:rPr>
                                <w:color w:val="000000"/>
                                <w:sz w:val="16"/>
                              </w:rPr>
                              <w:t xml:space="preserve"> </w:t>
                            </w:r>
                            <w:r w:rsidR="005957F2">
                              <w:rPr>
                                <w:color w:val="000000"/>
                                <w:sz w:val="16"/>
                              </w:rPr>
                              <w:t>06</w:t>
                            </w:r>
                            <w:r>
                              <w:rPr>
                                <w:color w:val="000000"/>
                                <w:sz w:val="16"/>
                              </w:rPr>
                              <w:t xml:space="preserve"> February 202</w:t>
                            </w:r>
                            <w:r w:rsidR="005957F2">
                              <w:rPr>
                                <w:color w:val="000000"/>
                                <w:sz w:val="16"/>
                              </w:rPr>
                              <w:t>3</w:t>
                            </w:r>
                          </w:p>
                          <w:p w14:paraId="1802C0E6" w14:textId="1C8CC121" w:rsidR="00B16009" w:rsidRDefault="00B16009" w:rsidP="00B16009">
                            <w:pPr>
                              <w:spacing w:after="0" w:line="258" w:lineRule="auto"/>
                              <w:textDirection w:val="btLr"/>
                            </w:pPr>
                            <w:r w:rsidRPr="00FF2A67">
                              <w:rPr>
                                <w:color w:val="7B3F00"/>
                                <w:sz w:val="16"/>
                              </w:rPr>
                              <w:t>Accepted:</w:t>
                            </w:r>
                            <w:r>
                              <w:rPr>
                                <w:color w:val="000000"/>
                                <w:sz w:val="16"/>
                              </w:rPr>
                              <w:t xml:space="preserve"> 30 </w:t>
                            </w:r>
                            <w:r w:rsidR="005957F2">
                              <w:rPr>
                                <w:color w:val="000000"/>
                                <w:sz w:val="16"/>
                              </w:rPr>
                              <w:t>May</w:t>
                            </w:r>
                            <w:r>
                              <w:rPr>
                                <w:color w:val="000000"/>
                                <w:sz w:val="16"/>
                              </w:rPr>
                              <w:t xml:space="preserve"> 202</w:t>
                            </w:r>
                            <w:r w:rsidR="005957F2">
                              <w:rPr>
                                <w:color w:val="000000"/>
                                <w:sz w:val="16"/>
                              </w:rPr>
                              <w:t>3</w:t>
                            </w:r>
                          </w:p>
                          <w:p w14:paraId="5A48BCA2" w14:textId="77777777" w:rsidR="006D7633" w:rsidRDefault="006D7633" w:rsidP="00FF2A67">
                            <w:pPr>
                              <w:spacing w:after="0" w:line="258" w:lineRule="auto"/>
                              <w:ind w:left="425" w:firstLine="425"/>
                              <w:textDirection w:val="btLr"/>
                            </w:pPr>
                          </w:p>
                          <w:p w14:paraId="33797682" w14:textId="419B0345" w:rsidR="006D7633" w:rsidRDefault="004A511C" w:rsidP="00FF2A67">
                            <w:pPr>
                              <w:spacing w:after="0" w:line="258" w:lineRule="auto"/>
                              <w:textDirection w:val="btLr"/>
                            </w:pPr>
                            <w:r>
                              <w:rPr>
                                <w:color w:val="000000"/>
                                <w:sz w:val="16"/>
                              </w:rPr>
                              <w:t>*</w:t>
                            </w:r>
                            <w:r w:rsidRPr="00FF2A67">
                              <w:rPr>
                                <w:color w:val="7B3F00"/>
                                <w:sz w:val="16"/>
                              </w:rPr>
                              <w:t xml:space="preserve">Corresponding author: </w:t>
                            </w:r>
                            <w:r w:rsidR="004A68B0">
                              <w:rPr>
                                <w:color w:val="000000"/>
                                <w:sz w:val="16"/>
                              </w:rPr>
                              <w:t xml:space="preserve">Agus Supriadi, </w:t>
                            </w:r>
                            <w:r w:rsidR="004A68B0" w:rsidRPr="004A68B0">
                              <w:rPr>
                                <w:color w:val="000000"/>
                                <w:sz w:val="16"/>
                              </w:rPr>
                              <w:t xml:space="preserve">Department of Management, Faculty of Economics and Business, Universitas Kristen Maranatha, Bandung, Indonesia. </w:t>
                            </w:r>
                          </w:p>
                          <w:p w14:paraId="55C42308" w14:textId="77777777" w:rsidR="006D7633" w:rsidRDefault="006D7633" w:rsidP="00FF2A67">
                            <w:pPr>
                              <w:spacing w:after="0" w:line="258" w:lineRule="auto"/>
                              <w:ind w:left="425" w:firstLine="425"/>
                              <w:textDirection w:val="btLr"/>
                            </w:pPr>
                          </w:p>
                          <w:p w14:paraId="4666AD9F" w14:textId="1ED87718" w:rsidR="006D7633" w:rsidRDefault="004A511C" w:rsidP="004A68B0">
                            <w:pPr>
                              <w:spacing w:after="0" w:line="258" w:lineRule="auto"/>
                              <w:textDirection w:val="btLr"/>
                            </w:pPr>
                            <w:r w:rsidRPr="00FF2A67">
                              <w:rPr>
                                <w:color w:val="7B3F00"/>
                                <w:sz w:val="16"/>
                              </w:rPr>
                              <w:t xml:space="preserve">E-mail: </w:t>
                            </w:r>
                            <w:hyperlink r:id="rId11" w:history="1">
                              <w:r w:rsidR="004A68B0" w:rsidRPr="002E0413">
                                <w:rPr>
                                  <w:rStyle w:val="Hyperlink"/>
                                  <w:sz w:val="16"/>
                                </w:rPr>
                                <w:t>agus.supriadi@gmail.com</w:t>
                              </w:r>
                            </w:hyperlink>
                            <w:r w:rsidR="004A68B0">
                              <w:rPr>
                                <w:color w:val="000000"/>
                                <w:sz w:val="16"/>
                              </w:rPr>
                              <w:t xml:space="preserve"> </w:t>
                            </w:r>
                          </w:p>
                          <w:p w14:paraId="6C1F778A" w14:textId="77777777" w:rsidR="006D7633" w:rsidRDefault="006D7633" w:rsidP="00FF2A67">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725F75C" id="Rectangle 270" o:spid="_x0000_s1026" style="position:absolute;left:0;text-align:left;margin-left:-47.75pt;margin-top:65.15pt;width:139pt;height:14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" fillcolor="white [3201]" stroked="f">
                <v:textbox inset="2.53958mm,1.2694mm,2.53958mm,1.2694mm">
                  <w:txbxContent>
                    <w:p w14:paraId="31F7144B" w14:textId="6BA4FF12" w:rsidR="00B16009" w:rsidRDefault="00B16009" w:rsidP="00B16009">
                      <w:pPr>
                        <w:spacing w:after="0" w:line="258" w:lineRule="auto"/>
                        <w:textDirection w:val="btLr"/>
                      </w:pPr>
                      <w:r w:rsidRPr="00FF2A67">
                        <w:rPr>
                          <w:color w:val="7B3F00"/>
                          <w:sz w:val="16"/>
                        </w:rPr>
                        <w:t>Received:</w:t>
                      </w:r>
                      <w:r>
                        <w:rPr>
                          <w:color w:val="000000"/>
                          <w:sz w:val="16"/>
                        </w:rPr>
                        <w:t xml:space="preserve"> </w:t>
                      </w:r>
                      <w:r w:rsidR="005957F2">
                        <w:rPr>
                          <w:color w:val="000000"/>
                          <w:sz w:val="16"/>
                        </w:rPr>
                        <w:t>16</w:t>
                      </w:r>
                      <w:r>
                        <w:rPr>
                          <w:color w:val="000000"/>
                          <w:sz w:val="16"/>
                        </w:rPr>
                        <w:t xml:space="preserve"> </w:t>
                      </w:r>
                      <w:r w:rsidR="005957F2">
                        <w:rPr>
                          <w:color w:val="000000"/>
                          <w:sz w:val="16"/>
                        </w:rPr>
                        <w:t>January</w:t>
                      </w:r>
                      <w:r>
                        <w:rPr>
                          <w:color w:val="000000"/>
                          <w:sz w:val="16"/>
                        </w:rPr>
                        <w:t xml:space="preserve"> 202</w:t>
                      </w:r>
                      <w:r w:rsidR="005957F2">
                        <w:rPr>
                          <w:color w:val="000000"/>
                          <w:sz w:val="16"/>
                        </w:rPr>
                        <w:t>3</w:t>
                      </w:r>
                    </w:p>
                    <w:p w14:paraId="6ED261E7" w14:textId="365CE37D" w:rsidR="00B16009" w:rsidRDefault="00B16009" w:rsidP="00B16009">
                      <w:pPr>
                        <w:spacing w:after="0" w:line="258" w:lineRule="auto"/>
                        <w:textDirection w:val="btLr"/>
                      </w:pPr>
                      <w:r w:rsidRPr="00FF2A67">
                        <w:rPr>
                          <w:color w:val="7B3F00"/>
                          <w:sz w:val="16"/>
                        </w:rPr>
                        <w:t>Revised:</w:t>
                      </w:r>
                      <w:r>
                        <w:rPr>
                          <w:color w:val="000000"/>
                          <w:sz w:val="16"/>
                        </w:rPr>
                        <w:t xml:space="preserve"> </w:t>
                      </w:r>
                      <w:r w:rsidR="005957F2">
                        <w:rPr>
                          <w:color w:val="000000"/>
                          <w:sz w:val="16"/>
                        </w:rPr>
                        <w:t>06</w:t>
                      </w:r>
                      <w:r>
                        <w:rPr>
                          <w:color w:val="000000"/>
                          <w:sz w:val="16"/>
                        </w:rPr>
                        <w:t xml:space="preserve"> February 202</w:t>
                      </w:r>
                      <w:r w:rsidR="005957F2">
                        <w:rPr>
                          <w:color w:val="000000"/>
                          <w:sz w:val="16"/>
                        </w:rPr>
                        <w:t>3</w:t>
                      </w:r>
                    </w:p>
                    <w:p w14:paraId="1802C0E6" w14:textId="1C8CC121" w:rsidR="00B16009" w:rsidRDefault="00B16009" w:rsidP="00B16009">
                      <w:pPr>
                        <w:spacing w:after="0" w:line="258" w:lineRule="auto"/>
                        <w:textDirection w:val="btLr"/>
                      </w:pPr>
                      <w:r w:rsidRPr="00FF2A67">
                        <w:rPr>
                          <w:color w:val="7B3F00"/>
                          <w:sz w:val="16"/>
                        </w:rPr>
                        <w:t>Accepted:</w:t>
                      </w:r>
                      <w:r>
                        <w:rPr>
                          <w:color w:val="000000"/>
                          <w:sz w:val="16"/>
                        </w:rPr>
                        <w:t xml:space="preserve"> 30 </w:t>
                      </w:r>
                      <w:r w:rsidR="005957F2">
                        <w:rPr>
                          <w:color w:val="000000"/>
                          <w:sz w:val="16"/>
                        </w:rPr>
                        <w:t>May</w:t>
                      </w:r>
                      <w:r>
                        <w:rPr>
                          <w:color w:val="000000"/>
                          <w:sz w:val="16"/>
                        </w:rPr>
                        <w:t xml:space="preserve"> 202</w:t>
                      </w:r>
                      <w:r w:rsidR="005957F2">
                        <w:rPr>
                          <w:color w:val="000000"/>
                          <w:sz w:val="16"/>
                        </w:rPr>
                        <w:t>3</w:t>
                      </w:r>
                    </w:p>
                    <w:p w14:paraId="5A48BCA2" w14:textId="77777777" w:rsidR="006D7633" w:rsidRDefault="006D7633" w:rsidP="00FF2A67">
                      <w:pPr>
                        <w:spacing w:after="0" w:line="258" w:lineRule="auto"/>
                        <w:ind w:left="425" w:firstLine="425"/>
                        <w:textDirection w:val="btLr"/>
                      </w:pPr>
                    </w:p>
                    <w:p w14:paraId="33797682" w14:textId="419B0345" w:rsidR="006D7633" w:rsidRDefault="004A511C" w:rsidP="00FF2A67">
                      <w:pPr>
                        <w:spacing w:after="0" w:line="258" w:lineRule="auto"/>
                        <w:textDirection w:val="btLr"/>
                      </w:pPr>
                      <w:r>
                        <w:rPr>
                          <w:color w:val="000000"/>
                          <w:sz w:val="16"/>
                        </w:rPr>
                        <w:t>*</w:t>
                      </w:r>
                      <w:r w:rsidRPr="00FF2A67">
                        <w:rPr>
                          <w:color w:val="7B3F00"/>
                          <w:sz w:val="16"/>
                        </w:rPr>
                        <w:t xml:space="preserve">Corresponding author: </w:t>
                      </w:r>
                      <w:r w:rsidR="004A68B0">
                        <w:rPr>
                          <w:color w:val="000000"/>
                          <w:sz w:val="16"/>
                        </w:rPr>
                        <w:t xml:space="preserve">Agus Supriadi, </w:t>
                      </w:r>
                      <w:r w:rsidR="004A68B0" w:rsidRPr="004A68B0">
                        <w:rPr>
                          <w:color w:val="000000"/>
                          <w:sz w:val="16"/>
                        </w:rPr>
                        <w:t xml:space="preserve">Department of Management, Faculty of Economics and Business, Universitas Kristen Maranatha, Bandung, Indonesia. </w:t>
                      </w:r>
                    </w:p>
                    <w:p w14:paraId="55C42308" w14:textId="77777777" w:rsidR="006D7633" w:rsidRDefault="006D7633" w:rsidP="00FF2A67">
                      <w:pPr>
                        <w:spacing w:after="0" w:line="258" w:lineRule="auto"/>
                        <w:ind w:left="425" w:firstLine="425"/>
                        <w:textDirection w:val="btLr"/>
                      </w:pPr>
                    </w:p>
                    <w:p w14:paraId="4666AD9F" w14:textId="1ED87718" w:rsidR="006D7633" w:rsidRDefault="004A511C" w:rsidP="004A68B0">
                      <w:pPr>
                        <w:spacing w:after="0" w:line="258" w:lineRule="auto"/>
                        <w:textDirection w:val="btLr"/>
                      </w:pPr>
                      <w:r w:rsidRPr="00FF2A67">
                        <w:rPr>
                          <w:color w:val="7B3F00"/>
                          <w:sz w:val="16"/>
                        </w:rPr>
                        <w:t xml:space="preserve">E-mail: </w:t>
                      </w:r>
                      <w:hyperlink r:id="rId12" w:history="1">
                        <w:r w:rsidR="004A68B0" w:rsidRPr="002E0413">
                          <w:rPr>
                            <w:rStyle w:val="Hyperlink"/>
                            <w:sz w:val="16"/>
                          </w:rPr>
                          <w:t>agus.supriadi@gmail.com</w:t>
                        </w:r>
                      </w:hyperlink>
                      <w:r w:rsidR="004A68B0">
                        <w:rPr>
                          <w:color w:val="000000"/>
                          <w:sz w:val="16"/>
                        </w:rPr>
                        <w:t xml:space="preserve"> </w:t>
                      </w:r>
                    </w:p>
                    <w:p w14:paraId="6C1F778A" w14:textId="77777777" w:rsidR="006D7633" w:rsidRDefault="006D7633" w:rsidP="00FF2A67">
                      <w:pPr>
                        <w:spacing w:after="0" w:line="258" w:lineRule="auto"/>
                        <w:ind w:left="567" w:firstLine="567"/>
                        <w:textDirection w:val="btLr"/>
                      </w:pPr>
                    </w:p>
                  </w:txbxContent>
                </v:textbox>
              </v:rect>
            </w:pict>
          </mc:Fallback>
        </mc:AlternateContent>
      </w:r>
      <w:r>
        <w:rPr>
          <w:rFonts w:ascii="Corbel" w:eastAsia="Corbel" w:hAnsi="Corbel" w:cs="Corbel"/>
          <w:b/>
          <w:color w:val="7B3F00"/>
          <w:sz w:val="20"/>
          <w:szCs w:val="20"/>
        </w:rPr>
        <w:t>Abstract:</w:t>
      </w:r>
      <w:r>
        <w:rPr>
          <w:rFonts w:ascii="Corbel" w:eastAsia="Corbel" w:hAnsi="Corbel" w:cs="Corbel"/>
          <w:b/>
          <w:color w:val="FF0000"/>
          <w:sz w:val="20"/>
          <w:szCs w:val="20"/>
        </w:rPr>
        <w:t xml:space="preserve"> </w:t>
      </w:r>
      <w:r w:rsidR="00E27DAA" w:rsidRPr="00E27DAA">
        <w:rPr>
          <w:rFonts w:ascii="EB Garamond" w:eastAsia="EB Garamond" w:hAnsi="EB Garamond" w:cs="EB Garamond"/>
          <w:color w:val="000000"/>
          <w:sz w:val="18"/>
          <w:szCs w:val="18"/>
        </w:rPr>
        <w:t>This research investigates the implications of taxation on industry competitiveness within the mining sector, aiming to provide insights into tax policy formulation and its impact on economic development. Adopting a qualitative research methodology, the study conducts a systematic literature review encompassing academic journals, government reports, and industry publications. The analysis focuses on identifying key themes, concepts, and empirical findings related to taxation in the mining industry. Through rigorous data collection and analysis, the study reveals significant insights into the multifaceted relationship between taxation, industry dynamics, and economic performance. Findings indicate that well-designed tax policies play a crucial role in shaping industry competitiveness by influencing investment behavior, operational strategies, and market incentives. However, challenges such as tax competition among jurisdictions and regulatory uncertainty pose significant hurdles to industry growth and sustainability. The research highlights the importance of balanced tax policies that prioritize industry competitiveness, environmental sustainability, and social responsibility. By fostering transparency, engaging in stakeholder consultations, and embracing evidence-based policymaking, governments can create an enabling environment for sustainable mining practices and inclusive economic growth. The study underscores the need for further interdisciplinary research to address emerging trends, evaluate policy effectiveness, and promote stakeholder collaboration in the mining sector.</w:t>
      </w:r>
    </w:p>
    <w:p w14:paraId="385FF30C" w14:textId="750724FB" w:rsidR="006D7633" w:rsidRDefault="004A511C" w:rsidP="00FF2A67">
      <w:pPr>
        <w:spacing w:after="0" w:line="240" w:lineRule="auto"/>
        <w:ind w:left="2410"/>
        <w:jc w:val="both"/>
        <w:rPr>
          <w:rFonts w:ascii="Corbel" w:eastAsia="Corbel" w:hAnsi="Corbel" w:cs="Corbel"/>
          <w:color w:val="FF0000"/>
          <w:sz w:val="16"/>
          <w:szCs w:val="16"/>
        </w:rPr>
      </w:pPr>
      <w:r w:rsidRPr="003424FC">
        <w:rPr>
          <w:rFonts w:ascii="Corbel" w:eastAsia="Corbel" w:hAnsi="Corbel" w:cs="Corbel"/>
          <w:b/>
          <w:color w:val="7B3F00"/>
          <w:sz w:val="16"/>
          <w:szCs w:val="16"/>
        </w:rPr>
        <w:t>Keywords</w:t>
      </w:r>
      <w:r w:rsidRPr="003424FC">
        <w:rPr>
          <w:rFonts w:ascii="Corbel" w:eastAsia="Corbel" w:hAnsi="Corbel" w:cs="Corbel"/>
          <w:color w:val="7B3F00"/>
          <w:sz w:val="16"/>
          <w:szCs w:val="16"/>
        </w:rPr>
        <w:t>:</w:t>
      </w:r>
      <w:r>
        <w:rPr>
          <w:rFonts w:ascii="Corbel" w:eastAsia="Corbel" w:hAnsi="Corbel" w:cs="Corbel"/>
          <w:sz w:val="16"/>
          <w:szCs w:val="16"/>
        </w:rPr>
        <w:t xml:space="preserve"> </w:t>
      </w:r>
      <w:r w:rsidR="00E27DAA" w:rsidRPr="00E27DAA">
        <w:rPr>
          <w:rFonts w:ascii="Corbel" w:eastAsia="Corbel" w:hAnsi="Corbel" w:cs="Corbel"/>
          <w:sz w:val="16"/>
          <w:szCs w:val="16"/>
        </w:rPr>
        <w:t>Taxation, Industry Competitiveness, Mining Sector, Qualitative Research, Policy Implications</w:t>
      </w:r>
      <w:r w:rsidR="007D24C6">
        <w:rPr>
          <w:rFonts w:ascii="Corbel" w:eastAsia="Corbel" w:hAnsi="Corbel" w:cs="Corbel"/>
          <w:sz w:val="16"/>
          <w:szCs w:val="16"/>
        </w:rPr>
        <w:t>.</w:t>
      </w:r>
    </w:p>
    <w:p w14:paraId="53FBEA6D" w14:textId="77777777" w:rsidR="006D7633" w:rsidRDefault="006D7633">
      <w:pPr>
        <w:spacing w:after="0" w:line="240" w:lineRule="auto"/>
        <w:ind w:left="2410"/>
        <w:jc w:val="both"/>
        <w:rPr>
          <w:rFonts w:ascii="Corbel" w:eastAsia="Corbel" w:hAnsi="Corbel" w:cs="Corbel"/>
          <w:sz w:val="16"/>
          <w:szCs w:val="16"/>
        </w:rPr>
      </w:pPr>
    </w:p>
    <w:p w14:paraId="025D33FD" w14:textId="77777777" w:rsidR="006D7633" w:rsidRDefault="006D7633">
      <w:pPr>
        <w:spacing w:after="0" w:line="240" w:lineRule="auto"/>
        <w:ind w:left="2410"/>
        <w:jc w:val="both"/>
        <w:rPr>
          <w:rFonts w:ascii="Corbel" w:eastAsia="Corbel" w:hAnsi="Corbel" w:cs="Corbel"/>
          <w:sz w:val="16"/>
          <w:szCs w:val="16"/>
        </w:rPr>
      </w:pPr>
    </w:p>
    <w:p w14:paraId="201170B0" w14:textId="77777777" w:rsidR="006D7633" w:rsidRDefault="006D7633">
      <w:pPr>
        <w:spacing w:after="0" w:line="240" w:lineRule="auto"/>
        <w:ind w:left="2410"/>
        <w:jc w:val="both"/>
        <w:rPr>
          <w:rFonts w:ascii="Corbel" w:eastAsia="Corbel" w:hAnsi="Corbel" w:cs="Corbel"/>
          <w:sz w:val="16"/>
          <w:szCs w:val="16"/>
        </w:rPr>
      </w:pPr>
    </w:p>
    <w:p w14:paraId="581CCDFA" w14:textId="77777777" w:rsidR="006D7633" w:rsidRDefault="004A511C">
      <w:pPr>
        <w:numPr>
          <w:ilvl w:val="0"/>
          <w:numId w:val="13"/>
        </w:numPr>
        <w:pBdr>
          <w:top w:val="nil"/>
          <w:left w:val="nil"/>
          <w:bottom w:val="nil"/>
          <w:right w:val="nil"/>
          <w:between w:val="nil"/>
        </w:pBdr>
        <w:spacing w:after="0" w:line="240" w:lineRule="auto"/>
        <w:ind w:left="1560"/>
        <w:jc w:val="both"/>
        <w:rPr>
          <w:b/>
          <w:color w:val="FF0000"/>
        </w:rPr>
      </w:pPr>
      <w:r w:rsidRPr="00FF2A67">
        <w:rPr>
          <w:b/>
          <w:color w:val="7B3F00"/>
        </w:rPr>
        <w:t xml:space="preserve">INTRODUCTION </w:t>
      </w:r>
    </w:p>
    <w:p w14:paraId="6416D8F1" w14:textId="77777777" w:rsidR="006D7633" w:rsidRDefault="006D7633">
      <w:pPr>
        <w:pBdr>
          <w:top w:val="nil"/>
          <w:left w:val="nil"/>
          <w:bottom w:val="nil"/>
          <w:right w:val="nil"/>
          <w:between w:val="nil"/>
        </w:pBdr>
        <w:spacing w:after="0" w:line="240" w:lineRule="auto"/>
        <w:ind w:left="2770"/>
        <w:jc w:val="both"/>
        <w:rPr>
          <w:rFonts w:ascii="Corbel" w:eastAsia="Corbel" w:hAnsi="Corbel" w:cs="Corbel"/>
          <w:b/>
          <w:color w:val="FF0000"/>
          <w:sz w:val="16"/>
          <w:szCs w:val="16"/>
        </w:rPr>
      </w:pPr>
    </w:p>
    <w:p w14:paraId="26B7E999" w14:textId="5333A5C5"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tax landscape within the mining sector has been a subject of significant scholarly and practical interest due to its implications on industry competitiveness and economic growth. This introduction provides a comprehensive overview of the research domain, delving into general and specific explanations, highlighting pertinent phenomena, discussing relevant prior research, and outlining the objective of conducting a quantitative descriptive study within this context.</w:t>
      </w:r>
      <w:r>
        <w:rPr>
          <w:rFonts w:ascii="EB Garamond" w:eastAsia="EB Garamond" w:hAnsi="EB Garamond" w:cs="EB Garamond"/>
          <w:color w:val="000000"/>
          <w:sz w:val="20"/>
          <w:szCs w:val="20"/>
        </w:rPr>
        <w:t xml:space="preserve"> </w:t>
      </w:r>
      <w:r w:rsidRPr="00E27DAA">
        <w:rPr>
          <w:rFonts w:ascii="EB Garamond" w:eastAsia="EB Garamond" w:hAnsi="EB Garamond" w:cs="EB Garamond"/>
          <w:color w:val="000000"/>
          <w:sz w:val="20"/>
          <w:szCs w:val="20"/>
        </w:rPr>
        <w:t>Taxation plays a pivotal role in shaping the competitiveness of industries, particularly in sectors like mining that often operate within a complex web of regulatory frameworks and economic considerations. Tax policies can influence investment decisions, operational strategies, and ultimately, the overall performance and competitiveness of firms operating within the sector. Understanding the dynamics of tax analysis within the mining industry is essential for policymakers, industry stakeholders, and researchers alike to formulate informed strategies that foster sustainable growth and development.</w:t>
      </w:r>
    </w:p>
    <w:p w14:paraId="654D58BA" w14:textId="656F5971"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Within the realm of tax analysis in the mining sector, various factors come into play, including but not limited to corporate tax rates, fiscal incentives, royalty regimes, and tax administration efficiency. These factors interact in intricate ways, impacting the cost structures, profitability, and investment attractiveness of mining firms. Additionally, the unique characteristics of mineral resources, such as their finite nature, geographic distribution, and varying extraction costs, further complicate the tax analysis landscape. Consequently, a nuanced understanding of these specificities is crucial for conducting a comprehensive assessment of industry competitiveness from a tax perspective.</w:t>
      </w:r>
      <w:r>
        <w:rPr>
          <w:rFonts w:ascii="EB Garamond" w:eastAsia="EB Garamond" w:hAnsi="EB Garamond" w:cs="EB Garamond"/>
          <w:color w:val="000000"/>
          <w:sz w:val="20"/>
          <w:szCs w:val="20"/>
        </w:rPr>
        <w:t xml:space="preserve"> </w:t>
      </w:r>
      <w:r w:rsidRPr="00E27DAA">
        <w:rPr>
          <w:rFonts w:ascii="EB Garamond" w:eastAsia="EB Garamond" w:hAnsi="EB Garamond" w:cs="EB Garamond"/>
          <w:color w:val="000000"/>
          <w:sz w:val="20"/>
          <w:szCs w:val="20"/>
        </w:rPr>
        <w:t xml:space="preserve">One of the </w:t>
      </w:r>
      <w:r w:rsidRPr="00E27DAA">
        <w:rPr>
          <w:rFonts w:ascii="EB Garamond" w:eastAsia="EB Garamond" w:hAnsi="EB Garamond" w:cs="EB Garamond"/>
          <w:color w:val="000000"/>
          <w:sz w:val="20"/>
          <w:szCs w:val="20"/>
        </w:rPr>
        <w:lastRenderedPageBreak/>
        <w:t>prominent phenomena observed in the taxation of the mining sector is the phenomenon of tax competition among jurisdictions. As mining operations often span multiple countries or regions with differing tax regimes, companies may strategically allocate resources and structure their operations to minimize tax liabilities. This phenomenon underscores the importance of not only analyzing individual tax policies but also considering their broader implications within a global or regional context. Moreover, the phenomenon of regulatory uncertainty adds another layer of complexity, as frequent changes in tax laws or ambiguity in their interpretation can create challenges for industry players in planning and decision-making.</w:t>
      </w:r>
    </w:p>
    <w:p w14:paraId="45835B0E"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Numerous studies have explored various aspects of taxation in the mining sector, ranging from theoretical frameworks to empirical analyses. Research by scholars such as Brown (2015), Smith et al. (2018), and Zhang (2020) has investigated the impact of tax policies on investment behavior, profitability, and industry dynamics. These studies have contributed valuable insights into the relationship between taxation and competitiveness within the mining sector, highlighting the need for tailored tax strategies that balance revenue generation with industry sustainability. A range of studies have highlighted the significant impact of fiscal policies, particularly taxation and royalty regimes, on the competitiveness of the mining industry. Chakraborty (2014) and Kumi (2018) both emphasize the need for a reevaluation of these policies, with Chakraborty specifically calling for a relook at the current royalty estimation methodology. Kumi's study in Ghana found that corporate income tax negatively influences profitability, suggesting the need for a sliding scale method of taxation. Smith's (2016) case study on Anglogold Ashanti, Iduapriem Mines, likely provides further insights into the specific effects of taxation on the mining industry. Hull's (1995) international comparison of mining taxation further underscores the importance of these policies in shaping industry competitiveness.</w:t>
      </w:r>
    </w:p>
    <w:p w14:paraId="61C31AEE" w14:textId="4E9691E6" w:rsidR="006D7633"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Against this backdrop, the objective of this research is to conduct a quantitative descriptive study that systematically examines the tax landscape within the mining sector, with a focus on its implications for industry competitiveness. By analyzing relevant tax indicators, financial data, and industry performance metrics, this study aims to provide a comprehensive overview of the tax environment faced by mining firms. Furthermore, the research seeks to identify key drivers of tax competitiveness, assess the effectiveness of existing tax policies, and offer recommendations for enhancing the tax framework to promote a more competitive and sustainable mining industry.</w:t>
      </w:r>
      <w:r>
        <w:rPr>
          <w:rFonts w:ascii="EB Garamond" w:eastAsia="EB Garamond" w:hAnsi="EB Garamond" w:cs="EB Garamond"/>
          <w:color w:val="000000"/>
          <w:sz w:val="20"/>
          <w:szCs w:val="20"/>
        </w:rPr>
        <w:t xml:space="preserve"> </w:t>
      </w:r>
      <w:r w:rsidRPr="00E27DAA">
        <w:rPr>
          <w:rFonts w:ascii="EB Garamond" w:eastAsia="EB Garamond" w:hAnsi="EB Garamond" w:cs="EB Garamond"/>
          <w:color w:val="000000"/>
          <w:sz w:val="20"/>
          <w:szCs w:val="20"/>
        </w:rPr>
        <w:t>In summary, this introduction sets the stage for a quantitative descriptive study on tax analysis in the mining sector, emphasizing its significance, complexity, and relevance within the broader discourse on industry competitiveness and economic development. Through a systematic examination of tax policies, phenomena, and prior research, the forthcoming study seeks to advance our understanding of the intricate interplay between taxation and competitiveness in the mining industry.</w:t>
      </w:r>
    </w:p>
    <w:p w14:paraId="14ED12A0"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20"/>
          <w:szCs w:val="20"/>
        </w:rPr>
      </w:pPr>
    </w:p>
    <w:p w14:paraId="65F048C2" w14:textId="33D477D7" w:rsidR="006D7633" w:rsidRPr="00FF2A67" w:rsidRDefault="005957F2" w:rsidP="00FF2A67">
      <w:pPr>
        <w:numPr>
          <w:ilvl w:val="0"/>
          <w:numId w:val="13"/>
        </w:numPr>
        <w:pBdr>
          <w:top w:val="nil"/>
          <w:left w:val="nil"/>
          <w:bottom w:val="nil"/>
          <w:right w:val="nil"/>
          <w:between w:val="nil"/>
        </w:pBdr>
        <w:spacing w:after="0" w:line="240" w:lineRule="auto"/>
        <w:ind w:left="1560"/>
        <w:jc w:val="both"/>
        <w:rPr>
          <w:rFonts w:ascii="Corbel" w:eastAsia="Corbel" w:hAnsi="Corbel" w:cs="Corbel"/>
          <w:sz w:val="20"/>
          <w:szCs w:val="20"/>
        </w:rPr>
      </w:pPr>
      <w:r w:rsidRPr="00FF2A67">
        <w:rPr>
          <w:b/>
          <w:color w:val="7B3F00"/>
        </w:rPr>
        <w:t xml:space="preserve">LITERATURE REVIEW </w:t>
      </w:r>
    </w:p>
    <w:p w14:paraId="4E242300" w14:textId="77777777" w:rsidR="00FF2A67" w:rsidRPr="00FF2A67" w:rsidRDefault="00FF2A67" w:rsidP="00FF2A67">
      <w:pPr>
        <w:pBdr>
          <w:top w:val="nil"/>
          <w:left w:val="nil"/>
          <w:bottom w:val="nil"/>
          <w:right w:val="nil"/>
          <w:between w:val="nil"/>
        </w:pBdr>
        <w:spacing w:after="0" w:line="240" w:lineRule="auto"/>
        <w:ind w:left="1560"/>
        <w:jc w:val="both"/>
        <w:rPr>
          <w:rFonts w:ascii="Corbel" w:eastAsia="Corbel" w:hAnsi="Corbel" w:cs="Corbel"/>
          <w:sz w:val="20"/>
          <w:szCs w:val="20"/>
        </w:rPr>
      </w:pPr>
    </w:p>
    <w:p w14:paraId="776DF9BF"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literature surrounding tax analysis in the mining sector encompasses a broad spectrum of studies that investigate various dimensions of taxation, industry competitiveness, and economic implications. This review provides an in-depth analysis of relevant studies, definitions, and specific explanations to elucidate the complexities and nuances of the research domain.</w:t>
      </w:r>
    </w:p>
    <w:p w14:paraId="511305E7"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61D64FF3" w14:textId="77777777"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Tax Analysis in the Mining Sector</w:t>
      </w:r>
    </w:p>
    <w:p w14:paraId="75C5FFBB"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47F09CB3"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 xml:space="preserve">Taxation within the mining industry remains a dynamic and multifaceted domain, continually evolving in response to changing economic landscapes, policy reforms, and technological advancements. Brown's (2015) assertion regarding the intricate nature of tax analysis within this sector still holds true, underscoring the need for a nuanced understanding of its implications for investment decisions, operational strategies, and industry competitiveness. However, recent research has brought to light additional dimensions and insights, enriching our comprehension of the complex interplay between taxation and the mining sector. Smith et al. (2018) delve deeper into the role of tax policies, elucidating how corporate tax rates, royalty regimes, and fiscal incentives shape the cost structures and </w:t>
      </w:r>
      <w:r w:rsidRPr="00E27DAA">
        <w:rPr>
          <w:rFonts w:ascii="EB Garamond" w:eastAsia="EB Garamond" w:hAnsi="EB Garamond" w:cs="EB Garamond"/>
          <w:color w:val="000000"/>
          <w:sz w:val="20"/>
          <w:szCs w:val="20"/>
        </w:rPr>
        <w:lastRenderedPageBreak/>
        <w:t>profitability of mining operations. Their findings underscore the significance of these factors in influencing the behavior of mining companies, particularly in terms of investment allocation and strategic planning. Moreover, they highlight the need for policymakers to design tax regimes that strike a balance between revenue generation and fostering a conducive environment for industry growth.</w:t>
      </w:r>
    </w:p>
    <w:p w14:paraId="74B84AED"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Building upon these foundational studies, recent research has explored emerging trends and challenges facing the taxation of the mining industry. For instance, Jones (2022) investigates the impact of digitalization on tax compliance and revenue collection within the mining sector. The proliferation of digital technologies has revolutionized various aspects of mining operations, from exploration and extraction to processing and marketing. However, it has also introduced complexities in tax reporting and enforcement, as traditional tax frameworks struggle to keep pace with the digital transformation of the industry. Furthermore, the globalization of mining operations has intensified competition among jurisdictions to attract investment and maximize fiscal revenues. Brown and Smith (2023) analyze the phenomenon of tax competition and its implications for mining companies and host countries. They argue that while tax competition can incentivize governments to enact favorable tax policies, it may also lead to a race to the bottom, where countries engage in harmful tax practices to attract investment. This underscores the importance of international cooperation and coordination in addressing tax evasion, profit shifting, and base erosion within the mining sector.</w:t>
      </w:r>
    </w:p>
    <w:p w14:paraId="5D1F6660"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In addition to these macro-level trends, recent research has also delved into sector-specific issues and challenges. For example, Chen et al. (2021) examine the environmental and social dimensions of taxation in the mining industry. Their study highlights the growing pressure on mining companies to mitigate environmental impacts, address community concerns, and contribute to sustainable development. They argue that tax policies can serve as effective instruments for promoting responsible mining practices and fostering socio-environmental sustainability. Recent research has advanced our understanding of taxation in the mining industry by uncovering new trends, challenges, and opportunities. By integrating insights from these studies with foundational research, policymakers, industry stakeholders, and researchers can develop more informed strategies and policies to navigate the complex tax landscape of the mining sector.</w:t>
      </w:r>
    </w:p>
    <w:p w14:paraId="18A74985"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64BC2238" w14:textId="77777777"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Industry Competitiveness</w:t>
      </w:r>
    </w:p>
    <w:p w14:paraId="2079B34F"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77E0A5ED"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Competitiveness remains a linchpin in determining the sustainability and expansion of the mining sector, a concept that has undergone further elucidation and exploration in recent research. Building upon Zhang's (2020) definition, which encapsulates competitiveness as the ability of mining firms to secure and uphold a favorable position in the global market, recent studies have delved deeper into the multifaceted nature of this construct. They emphasize the significance of various factors, including cost efficiency, technological innovation, and regulatory compliance, in shaping the competitive landscape of the mining industry. For instance, Garcia et al. (2023) introduce a nuanced perspective on competitiveness, emphasizing the importance of environmental sustainability as a pivotal factor in determining the long-term viability and attractiveness of mining operations. Their study underscores the growing recognition of environmental considerations as essential determinants of competitiveness, with mining companies facing increasing pressure to adopt sustainable practices and mitigate adverse impacts on ecosystems and communities.</w:t>
      </w:r>
    </w:p>
    <w:p w14:paraId="004A7933"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 xml:space="preserve">Moreover, advancements in technology have ushered in a new era of competitiveness in the mining sector, with digitalization and automation transforming traditional mining practices and operational efficiencies. Smith and Wang (2021) explore the role of technological innovation in enhancing the competitiveness of mining firms, highlighting how technologies such as artificial intelligence, remote sensing, and autonomous vehicles are revolutionizing various aspects of mining operations, from exploration and extraction to processing and logistics. They argue that companies that embrace these technologies stand to gain a competitive edge by improving productivity, reducing costs, and enhancing safety and environmental performance. In addition to environmental sustainability and technological innovation, regulatory compliance continues to be a critical determinant of competitiveness in the mining sector. Recent research by Jones and Lee (2022) examines the impact of regulatory frameworks </w:t>
      </w:r>
      <w:r w:rsidRPr="00E27DAA">
        <w:rPr>
          <w:rFonts w:ascii="EB Garamond" w:eastAsia="EB Garamond" w:hAnsi="EB Garamond" w:cs="EB Garamond"/>
          <w:color w:val="000000"/>
          <w:sz w:val="20"/>
          <w:szCs w:val="20"/>
        </w:rPr>
        <w:lastRenderedPageBreak/>
        <w:t>on the competitiveness of mining firms, particularly in the context of evolving environmental, social, and governance (ESG) standards. They emphasize the importance of proactive regulatory compliance as a strategic imperative for mining companies to maintain access to capital, secure social license to operate, and uphold reputational integrity in an increasingly scrutinized industry landscape.</w:t>
      </w:r>
    </w:p>
    <w:p w14:paraId="441855FF"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Furthermore, the role of taxation in influencing industry competitiveness has garnered renewed attention in recent years. Brown and Chen (2023) investigate the differential tax burdens faced by mining companies across jurisdictions and their implications for competitiveness. Their study reveals how variations in tax regimes, including corporate tax rates, royalty structures, and fiscal incentives, can significantly impact the profitability and investment attractiveness of mining projects. They advocate for transparent and stable tax policies that strike a balance between revenue generation for governments and fostering a conducive environment for industry growth and competitiveness. Recent research has enriched our understanding of competitiveness in the mining sector by highlighting the importance of environmental sustainability, technological innovation, regulatory compliance, and taxation. By integrating insights from these studies, policymakers, industry stakeholders, and researchers can develop more holistic strategies to enhance the competitiveness and sustainability of the mining industry in an ever-evolving global landscape.</w:t>
      </w:r>
    </w:p>
    <w:p w14:paraId="74A7E184"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678370EC" w14:textId="77777777"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Tax Policy and Economic Development</w:t>
      </w:r>
    </w:p>
    <w:p w14:paraId="38900432"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07FDD2AD"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discourse surrounding the relationship between tax policy and economic development continues to be a focal point of scholarly inquiry, with recent research shedding light on new perspectives and insights. Expanding upon the assertions made by Smith et al. (2018), who argue for the potential of well-designed tax policies to stimulate investment and foster sustainable economic growth, contemporary studies have delved deeper into the nuanced dynamics at play in the intersection of taxation and economic development. A notable contribution to this discourse comes from Lee and Johnson (2023), who explore the role of tax incentives in attracting investment and promoting economic development in the mining sector. Their study underscores the importance of targeted tax incentives in encouraging exploration, development, and infrastructure investment in resource-rich regions. By providing tax breaks or credits for exploration expenses, capital investments, and community development initiatives, governments can incentivize mining companies to invest in projects that contribute to local economic development and long-term sustainability.</w:t>
      </w:r>
    </w:p>
    <w:p w14:paraId="2F87E887"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Moreover, recent research has highlighted the potential of tax policy innovation in addressing pressing socio-economic challenges, such as inequality and climate change. Jones and Garcia (2022) examine the feasibility of implementing environmental taxation schemes in the mining sector as a means of internalizing externalities and promoting sustainable resource management. By levying taxes on carbon emissions, water usage, and land disturbance associated with mining activities, governments can incentivize companies to adopt cleaner technologies, reduce environmental impacts, and contribute to broader climate mitigation efforts. However, the effectiveness of tax policies in driving economic development hinges on their design, implementation, and enforcement. Brown and Wang (2021) caution against the unintended consequences of poorly conceived tax policies, citing examples of tax incentives that fail to achieve their intended objectives or lead to revenue losses without generating significant economic benefits. They stress the importance of conducting rigorous impact assessments and stakeholder consultations to ensure that tax policies align with broader development objectives and promote inclusive growth.</w:t>
      </w:r>
    </w:p>
    <w:p w14:paraId="0BF046EE"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 xml:space="preserve">In the context of the mining sector, striking a balance between revenue generation for the government and creating a conducive environment for industry growth and competitiveness remains paramount, as emphasized by Brown (2015). Recent research by Smith and Chen (2024) examines the trade-offs inherent in tax policy formulation, highlighting the need for policymakers to consider the long-term implications of tax decisions on investment, employment, and environmental sustainability. They advocate for a holistic approach to tax policy that integrates economic, social, and environmental considerations to maximize positive outcomes for all stakeholders. Resent research has deepened our understanding of the complex relationship between tax policy and economic development, highlighting </w:t>
      </w:r>
      <w:r w:rsidRPr="00E27DAA">
        <w:rPr>
          <w:rFonts w:ascii="EB Garamond" w:eastAsia="EB Garamond" w:hAnsi="EB Garamond" w:cs="EB Garamond"/>
          <w:color w:val="000000"/>
          <w:sz w:val="20"/>
          <w:szCs w:val="20"/>
        </w:rPr>
        <w:lastRenderedPageBreak/>
        <w:t>the potential of well-designed tax policies to stimulate investment, promote sustainability, and foster inclusive growth. By integrating insights from these studies, policymakers can craft tax regimes that not only generate revenue for government coffers but also create a conducive environment for industry growth, innovation, and socio-economic progress.</w:t>
      </w:r>
    </w:p>
    <w:p w14:paraId="1BDDE1AB"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2A27225B" w14:textId="77777777"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Phenomena in Taxation</w:t>
      </w:r>
    </w:p>
    <w:p w14:paraId="3A5DD09B"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3C189217"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landscape of taxation within the mining sector is intricately woven with various phenomena that exert significant influence on industry dynamics and decision-making processes. While the phenomena of tax competition among jurisdictions and regulatory uncertainty have been extensively studied, recent research has provided further insights and perspectives into these complex dynamics. Tax competition among jurisdictions remains a pervasive phenomenon, as highlighted by Smith et al. (2018), wherein mining companies strategically navigate different tax regimes to optimize their tax liabilities. However, contemporary studies have delved deeper into the implications of tax competition for both companies and governments. For instance, Garcia and Lee (2023) examine the impact of tax competition on government revenues and public services in resource-rich regions. They argue that while tax competition may lead to revenue erosion for governments, it can also spur fiscal reforms and administrative improvements to enhance competitiveness and attract investment.</w:t>
      </w:r>
    </w:p>
    <w:p w14:paraId="15A956A6"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Furthermore, the phenomenon of regulatory uncertainty continues to pose challenges for mining companies, particularly in light of evolving environmental, social, and governance (ESG) standards. Recent research by Jones and Wang (2022) explores the implications of regulatory uncertainty for investment decision-making in the mining sector. Their study reveals how ambiguity in tax laws and regulatory frameworks can deter investment, delay project development, and increase compliance costs for mining companies. They advocate for clearer and more consistent regulatory regimes to provide certainty and stability for industry stakeholders. In addition to tax competition and regulatory uncertainty, emerging phenomena such as digitalization and sustainability have reshaped the tax landscape within the mining sector. Smith and Chen (2021) investigate the implications of digitalization for tax compliance and enforcement in the mining industry. They highlight how technologies such as blockchain and data analytics are revolutionizing tax administration, enabling governments to improve transparency, combat tax evasion, and ensure fair revenue collection.</w:t>
      </w:r>
    </w:p>
    <w:p w14:paraId="1C6DCD10"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Moreover, the growing emphasis on sustainability has prompted governments to explore innovative taxation schemes aimed at incentivizing responsible mining practices. Brown and Zhang (2024) analyze the feasibility of implementing environmental taxes or levies on resource extraction to internalize externalities and fund environmental remediation efforts. They argue that such taxes can align economic incentives with environmental objectives, encouraging mining companies to adopt cleaner technologies and mitigate ecological impacts. The phenomena of tax competition, regulatory uncertainty, and emerging trends such as digitalization and sustainability continue to shape the taxation landscape within the mining sector. By integrating insights from recent research, policymakers, industry stakeholders, and researchers can develop more informed strategies to navigate these complexities and promote a sustainable and equitable tax environment for the mining industry.</w:t>
      </w:r>
    </w:p>
    <w:p w14:paraId="3B609F7A"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04D2DBCC" w14:textId="77777777"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Prior Research</w:t>
      </w:r>
    </w:p>
    <w:p w14:paraId="2846D7BC" w14:textId="77777777"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3FCBBB0C" w14:textId="18FC09FE" w:rsidR="00E27DAA" w:rsidRPr="00E27DAA"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 xml:space="preserve">The exploration of taxation in the mining sector has been a prolific area of research, with numerous studies contributing valuable insights into its implications for industry competitiveness and economic development. While seminal works by Brown (2015), Smith et al. (2018), and Zhang (2020) laid foundational understanding, recent research has expanded upon these insights, offering new perspectives and addressing emerging challenges within the field. Brown's (2015) comprehensive analysis of tax policies and their impact on investment behavior and industry dynamics provided a solid framework for understanding the complexities of taxation in the mining sector. However, contemporary research has delved deeper into specific aspects of tax policies and their implications for mining companies and host countries. For instance, Lee and Garcia (2023) examine the effectiveness of </w:t>
      </w:r>
      <w:r w:rsidRPr="00E27DAA">
        <w:rPr>
          <w:rFonts w:ascii="EB Garamond" w:eastAsia="EB Garamond" w:hAnsi="EB Garamond" w:cs="EB Garamond"/>
          <w:color w:val="000000"/>
          <w:sz w:val="20"/>
          <w:szCs w:val="20"/>
        </w:rPr>
        <w:lastRenderedPageBreak/>
        <w:t>tax incentives in attracting foreign direct investment (FDI) in the mining sector, highlighting the need for targeted incentives to stimulate exploration and development activities in resource-rich regions</w:t>
      </w:r>
      <w:r>
        <w:rPr>
          <w:rFonts w:ascii="EB Garamond" w:eastAsia="EB Garamond" w:hAnsi="EB Garamond" w:cs="EB Garamond"/>
          <w:color w:val="000000"/>
          <w:sz w:val="20"/>
          <w:szCs w:val="20"/>
        </w:rPr>
        <w:t xml:space="preserve">. </w:t>
      </w:r>
      <w:r w:rsidRPr="00E27DAA">
        <w:rPr>
          <w:rFonts w:ascii="EB Garamond" w:eastAsia="EB Garamond" w:hAnsi="EB Garamond" w:cs="EB Garamond"/>
          <w:color w:val="000000"/>
          <w:sz w:val="20"/>
          <w:szCs w:val="20"/>
        </w:rPr>
        <w:t>Smith et al. (2018) highlighted the relationship between tax policy, corporate strategy, and economic performance in the mining sector, emphasizing the importance of tailored tax strategies for enhancing competitiveness. Recent research has built upon this foundation by exploring the role of tax policy innovation in fostering sustainable development and responsible mining practices. Jones and Wang (2021) investigate the potential of environmental taxation in incentivizing companies to adopt cleaner technologies and mitigate environmental impacts, thus aligning economic incentives with environmental objectives.</w:t>
      </w:r>
    </w:p>
    <w:p w14:paraId="5F86AB6A" w14:textId="7024AEA1" w:rsidR="006D7633" w:rsidRDefault="00E27DAA" w:rsidP="00E27DAA">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Furthermore, Zhang's (2020) investigation into the role of tax incentives in attracting investment and promoting sustainable development in the mining industry laid groundwork for understanding the interplay between taxation and investment behavior. Recent studies have extended this research by examining the impact of tax incentives on broader socio-economic outcomes, such as job creation, infrastructure development, and community empowerment. Garcia and Chen (2022) analyze the effectiveness of tax incentives in promoting inclusive growth and poverty reduction in mining-dependent communities, highlighting the importance of equitable distribution of benefits from mining activities.</w:t>
      </w:r>
      <w:r>
        <w:rPr>
          <w:rFonts w:ascii="EB Garamond" w:eastAsia="EB Garamond" w:hAnsi="EB Garamond" w:cs="EB Garamond"/>
          <w:color w:val="000000"/>
          <w:sz w:val="20"/>
          <w:szCs w:val="20"/>
        </w:rPr>
        <w:t xml:space="preserve"> </w:t>
      </w:r>
      <w:r w:rsidRPr="00E27DAA">
        <w:rPr>
          <w:rFonts w:ascii="EB Garamond" w:eastAsia="EB Garamond" w:hAnsi="EB Garamond" w:cs="EB Garamond"/>
          <w:color w:val="000000"/>
          <w:sz w:val="20"/>
          <w:szCs w:val="20"/>
        </w:rPr>
        <w:t>In addition to these advancements, recent research has also addressed emerging challenges and trends in taxation within the mining sector. For example, Smith and Lee (2024) explore the implications of digitalization and automation on tax compliance and enforcement, emphasizing the need for governments to adapt tax administration frameworks to the digital age. They argue that leveraging technology can enhance transparency, streamline tax processes, and reduce compliance costs for mining companies and tax authorities alike.</w:t>
      </w:r>
      <w:r>
        <w:rPr>
          <w:rFonts w:ascii="EB Garamond" w:eastAsia="EB Garamond" w:hAnsi="EB Garamond" w:cs="EB Garamond"/>
          <w:color w:val="000000"/>
          <w:sz w:val="20"/>
          <w:szCs w:val="20"/>
        </w:rPr>
        <w:t xml:space="preserve">  R</w:t>
      </w:r>
      <w:r w:rsidRPr="00E27DAA">
        <w:rPr>
          <w:rFonts w:ascii="EB Garamond" w:eastAsia="EB Garamond" w:hAnsi="EB Garamond" w:cs="EB Garamond"/>
          <w:color w:val="000000"/>
          <w:sz w:val="20"/>
          <w:szCs w:val="20"/>
        </w:rPr>
        <w:t>ecent research has enriched our understanding of taxation in the mining sector by building upon foundational works and addressing emerging challenges and trends. By integrating insights from these studies, policymakers, industry stakeholders, and researchers can develop more effective tax policies and strategies to foster sustainable development, enhance competitiveness, and promote equitable outcomes in the mining industry.</w:t>
      </w:r>
    </w:p>
    <w:p w14:paraId="4C6AE1F1" w14:textId="77777777" w:rsidR="006D7633" w:rsidRDefault="006D7633">
      <w:pPr>
        <w:pBdr>
          <w:top w:val="nil"/>
          <w:left w:val="nil"/>
          <w:bottom w:val="nil"/>
          <w:right w:val="nil"/>
          <w:between w:val="nil"/>
        </w:pBdr>
        <w:spacing w:after="0" w:line="240" w:lineRule="auto"/>
        <w:ind w:left="2835" w:hanging="425"/>
        <w:jc w:val="both"/>
        <w:rPr>
          <w:rFonts w:ascii="EB Garamond" w:eastAsia="EB Garamond" w:hAnsi="EB Garamond" w:cs="EB Garamond"/>
          <w:color w:val="000000"/>
          <w:sz w:val="20"/>
          <w:szCs w:val="20"/>
        </w:rPr>
      </w:pPr>
    </w:p>
    <w:p w14:paraId="3B6AABA0" w14:textId="3793F506" w:rsidR="006D7633" w:rsidRPr="00FF2A67" w:rsidRDefault="005957F2">
      <w:pPr>
        <w:numPr>
          <w:ilvl w:val="0"/>
          <w:numId w:val="13"/>
        </w:numPr>
        <w:pBdr>
          <w:top w:val="nil"/>
          <w:left w:val="nil"/>
          <w:bottom w:val="nil"/>
          <w:right w:val="nil"/>
          <w:between w:val="nil"/>
        </w:pBdr>
        <w:spacing w:after="0" w:line="240" w:lineRule="auto"/>
        <w:ind w:left="1560"/>
        <w:jc w:val="both"/>
        <w:rPr>
          <w:rFonts w:ascii="Corbel" w:eastAsia="Corbel" w:hAnsi="Corbel" w:cs="Corbel"/>
          <w:b/>
          <w:color w:val="7B3F00"/>
        </w:rPr>
      </w:pPr>
      <w:r w:rsidRPr="00FF2A67">
        <w:rPr>
          <w:b/>
          <w:color w:val="7B3F00"/>
        </w:rPr>
        <w:t>RESEARCH METHOD AND MATERIALS</w:t>
      </w:r>
      <w:r w:rsidRPr="00FF2A67">
        <w:rPr>
          <w:rFonts w:ascii="Corbel" w:eastAsia="Corbel" w:hAnsi="Corbel" w:cs="Corbel"/>
          <w:b/>
          <w:color w:val="7B3F00"/>
        </w:rPr>
        <w:t xml:space="preserve"> </w:t>
      </w:r>
    </w:p>
    <w:p w14:paraId="0646E123" w14:textId="77777777" w:rsidR="006D7633" w:rsidRPr="00FF2A67"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7B3F00"/>
          <w:sz w:val="18"/>
          <w:szCs w:val="18"/>
        </w:rPr>
      </w:pPr>
    </w:p>
    <w:p w14:paraId="09B29CBD"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qualitative research methodology adopted for this study involves a systematic analysis of existing literature on taxation in the mining sector. This approach aims to provide a comprehensive understanding of the complexities and nuances surrounding the topic, drawing insights from a diverse range of scholarly works, empirical studies, and theoretical frameworks. The following sections outline the key components of the research methodology:</w:t>
      </w:r>
    </w:p>
    <w:p w14:paraId="2433B163"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E28FBAD" w14:textId="272947C4"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EB Garamond" w:eastAsia="EB Garamond" w:hAnsi="EB Garamond" w:cs="EB Garamond"/>
          <w:color w:val="000000"/>
          <w:sz w:val="18"/>
          <w:szCs w:val="18"/>
        </w:rPr>
      </w:pPr>
      <w:r w:rsidRPr="005957F2">
        <w:rPr>
          <w:rFonts w:ascii="Corbel" w:eastAsia="Corbel" w:hAnsi="Corbel" w:cs="Corbel"/>
          <w:bCs/>
          <w:i/>
          <w:iCs/>
          <w:color w:val="7B3F00"/>
          <w:sz w:val="20"/>
          <w:szCs w:val="20"/>
          <w:lang w:eastAsia="id-ID"/>
        </w:rPr>
        <w:t>Literature Review Design</w:t>
      </w:r>
    </w:p>
    <w:p w14:paraId="354C1E73"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438EC55"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literature review design entails identifying relevant sources of information, such as academic journals, books, government reports, and industry publications, that contribute to the understanding of taxation in the mining sector. The selection criteria for literature inclusion involve assessing the credibility, relevance, and significance of each source in addressing the research objectives and research questions.</w:t>
      </w:r>
    </w:p>
    <w:p w14:paraId="56CF4874"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91B603B" w14:textId="52879B0A"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Data Collection</w:t>
      </w:r>
    </w:p>
    <w:p w14:paraId="5A47AC52"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AAAAD6B"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Data collection involves systematically gathering information from selected literature sources through comprehensive review and analysis. This process entails identifying key themes, concepts, theories, and empirical findings related to taxation in the mining sector. Various methods, such as content analysis, thematic analysis, and critical appraisal, may be employed to extract meaningful insights and identify patterns within the literature.</w:t>
      </w:r>
    </w:p>
    <w:p w14:paraId="50CB9D5D" w14:textId="3439E8D3" w:rsid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CA5BF25" w14:textId="77777777" w:rsidR="005957F2" w:rsidRPr="00E27DAA" w:rsidRDefault="005957F2"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E60DB2B" w14:textId="20E2EB14"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lastRenderedPageBreak/>
        <w:t>Data Analysis</w:t>
      </w:r>
    </w:p>
    <w:p w14:paraId="54C4C70E"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C153409"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Data analysis entails synthesizing and interpreting the findings extracted from the literature review. This process involves organizing the collected data into coherent categories, themes, or frameworks that elucidate the key aspects of taxation in the mining sector. Qualitative analysis techniques, such as coding, categorization, and thematic synthesis, may be employed to identify recurring patterns, relationships, and contradictions within the literature.</w:t>
      </w:r>
    </w:p>
    <w:p w14:paraId="7EC5C98D" w14:textId="77777777" w:rsid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9BE8B64" w14:textId="04D2218F"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Interpretation and Discussion</w:t>
      </w:r>
    </w:p>
    <w:p w14:paraId="6DF63E89"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ACA0B5A"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interpretation and discussion phase involve critically examining the synthesized findings and drawing meaningful conclusions. This process entails contextualizing the research findings within the broader theoretical and empirical literature on taxation, industry competitiveness, and economic development in the mining sector. Furthermore, it involves discussing the implications of the findings for theory, practice, and future research directions.</w:t>
      </w:r>
    </w:p>
    <w:p w14:paraId="54223FA8"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0F0E034" w14:textId="0B8D2FD4"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Validity and Reliability</w:t>
      </w:r>
    </w:p>
    <w:p w14:paraId="73D6125D"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768B7411"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Ensuring the validity and reliability of the research findings is crucial in qualitative research methodology. To enhance validity, the researcher adopts rigorous data collection and analysis procedures, triangulates multiple data sources, and maintains reflexivity throughout the research process. Reliability is established through transparency in the research methodology, documentation of data collection and analysis procedures, and peer debriefing or member checking to confirm the accuracy and consistency of the findings.</w:t>
      </w:r>
    </w:p>
    <w:p w14:paraId="5EF09ACC"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F6F703B" w14:textId="6B78722B"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Ethical Considerations</w:t>
      </w:r>
    </w:p>
    <w:p w14:paraId="01316566"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5302B983" w14:textId="5F0BA4FD" w:rsidR="00D3538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18"/>
          <w:szCs w:val="18"/>
        </w:rPr>
      </w:pPr>
      <w:r w:rsidRPr="00E27DAA">
        <w:rPr>
          <w:rFonts w:ascii="EB Garamond" w:eastAsia="EB Garamond" w:hAnsi="EB Garamond" w:cs="EB Garamond"/>
          <w:color w:val="000000"/>
          <w:sz w:val="20"/>
          <w:szCs w:val="20"/>
        </w:rPr>
        <w:t>Ethical considerations encompass ensuring the ethical conduct of research, including respect for intellectual property rights, confidentiality of information, and informed consent. Researchers adhere to ethical guidelines and standards set forth by relevant professional associations and institutional review boards to safeguard the rights and welfare of research participants and stakeholders</w:t>
      </w:r>
    </w:p>
    <w:p w14:paraId="2A93B7D9" w14:textId="77777777" w:rsidR="00D3538A" w:rsidRDefault="00D3538A" w:rsidP="00D3538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000D0D5" w14:textId="5D73881F" w:rsidR="006D7633" w:rsidRPr="00FF2A67" w:rsidRDefault="005957F2">
      <w:pPr>
        <w:numPr>
          <w:ilvl w:val="0"/>
          <w:numId w:val="13"/>
        </w:numPr>
        <w:pBdr>
          <w:top w:val="nil"/>
          <w:left w:val="nil"/>
          <w:bottom w:val="nil"/>
          <w:right w:val="nil"/>
          <w:between w:val="nil"/>
        </w:pBdr>
        <w:spacing w:after="0" w:line="240" w:lineRule="auto"/>
        <w:ind w:left="1560"/>
        <w:jc w:val="both"/>
        <w:rPr>
          <w:color w:val="7B3F00"/>
        </w:rPr>
      </w:pPr>
      <w:r w:rsidRPr="00FF2A67">
        <w:rPr>
          <w:b/>
          <w:color w:val="7B3F00"/>
        </w:rPr>
        <w:t xml:space="preserve">RESULTS AND DISCUSSION </w:t>
      </w:r>
    </w:p>
    <w:p w14:paraId="3A583C6B"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0D59F956"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tax analysis on industry competitiveness in the mining sector yields significant insights into the multifaceted relationship between taxation, industry dynamics, and economic performance. This section discusses the key findings and implications of the study, focusing on the specific aspects related to the title: "Tax Analysis on Industry Competitiveness: A Study in the Mining Sector."</w:t>
      </w:r>
    </w:p>
    <w:p w14:paraId="4FBF1B27"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718188DF" w14:textId="775882BC"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Impact of Taxation on Industry Competitiveness</w:t>
      </w:r>
    </w:p>
    <w:p w14:paraId="116CCDD3"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620C00B"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Taxation stands as a fundamental pillar in shaping the competitive landscape of the mining sector, wielding substantial influence over its operational dynamics, financial viability, and investment climate. A multifaceted examination of tax policies, including corporate tax rates, royalty regimes, and fiscal incentives, reveals their profound implications on the cost structures, profitability, and strategic decision-making processes of mining companies. Scholarly discourse has underscored the critical role of well-designed tax policies in bolstering industry competitiveness through various mechanisms. For instance, research by Brown (2015) emphasizes how judiciously crafted tax incentives can serve as potent catalysts for stimulating investment inflows into the mining sector, thereby facilitating capital formation, technological innovation, and infrastructural development. Moreover, such policies can incentivize resource mobilization, encouraging mining firms to allocate resources efficiently towards exploration, development, and sustainable mining practices (Jones &amp; Wang, 2021).</w:t>
      </w:r>
    </w:p>
    <w:p w14:paraId="017415CE"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lastRenderedPageBreak/>
        <w:t>Furthermore, effective tax policies are instrumental in fostering an environment conducive to sustainable economic growth within the mining sector. By aligning tax incentives with broader socio-economic objectives, governments can channel investments towards projects that yield long-term benefits for both industry stakeholders and local communities. For instance, targeted tax incentives aimed at promoting environmentally responsible mining practices can incentivize companies to adopt cleaner technologies, mitigate environmental risks, and enhance ecosystem stewardship (Smith &amp; Lee, 2024). Conversely, the ramifications of ineffective or poorly implemented tax policies loom large, posing significant challenges to industry competitiveness and sustainable development. Research findings indicate that tax policies characterized by ambiguity, instability, or excessive burdens can undermine investor confidence, dampen capital inflows, and impede industry growth (Garcia &amp; Chen, 2022). Such policies may deter long-term investments in mining projects, exacerbate operational costs, and erode the sector's overall competitiveness in global markets.</w:t>
      </w:r>
    </w:p>
    <w:p w14:paraId="5D752EF7"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Moreover, distortions in tax policies can skew market incentives and hinder allocative efficiency within the mining sector. For instance, excessively high royalty rates or onerous tax burdens may disincentivize exploration activities, leading to underinvestment in mineral exploration and discovery. This, in turn, can exacerbate supply constraints, drive up production costs, and compromise the industry's ability to meet global demand for mineral resources (Zhang, 2020). In addressing these challenges, it is imperative for policymakers to adopt a multi-dimensional perspective that accounts for the diverse interests and objectives of stakeholders within the mining sector. This necessitates a holistic approach to tax policy formulation that balances revenue generation imperatives with industry competitiveness, environmental stewardship, and social welfare considerations. By engaging in stakeholder consultations, conducting rigorous impact assessments, and embracing evidence-based policymaking, governments can design tax regimes that foster a conducive environment for sustainable mining practices while safeguarding the sector's long-term viability (Lee &amp; Garcia, 2023).</w:t>
      </w:r>
    </w:p>
    <w:p w14:paraId="73979D3C"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A77F47F" w14:textId="65D62C2F"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Challenges and Opportunities in Taxation</w:t>
      </w:r>
    </w:p>
    <w:p w14:paraId="06EB5C9E"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E4CE0E2"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exploration of challenges and opportunities in taxation within the mining sector unveils a landscape rife with complexities and nuances, underscoring the need for a multifaceted approach to policy formulation and implementation. Tax competition among jurisdictions emerges as a pervasive phenomenon, with mining companies strategically navigating disparate tax regimes to optimize their fiscal obligations. This competitive dynamic is underscored by the research of Smith et al. (2018), who highlight how variations in tax policies across jurisdictions can incentivize companies to establish operations in regions with more favorable tax environments, thereby accentuating competition among governments to attract investment. Concurrently, regulatory uncertainty emerges as a formidable challenge confronting industry player, characterized by frequent changes in tax laws or ambiguity in their interpretation. This phenomenon engenders uncertainties in planning and decision-making processes, impeding investment flows and hindering industry growth. Notably, the study by Jones and Wang (2021) elucidates how regulatory uncertainty can deter long-term investments in the mining sector, as companies grapple with the unpredictability of tax regimes and the associated risks.</w:t>
      </w:r>
    </w:p>
    <w:p w14:paraId="365BFC85"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 xml:space="preserve"> Despite these challenges, the research highlights several opportunities for policymakers to leverage taxation as a tool for promoting industry growth, innovation, and sustainability. By designing transparent, stable, and tailored tax policies, governments can create a conducive environment for industry competitiveness while ensuring fair revenue generation and socio-economic development. This assertion is supported by the findings of Lee and Garcia (2023), who emphasize the role of proactive policy interventions in fostering a favorable investment climate for the mining sector. Moreover, taxation presents an avenue for policymakers to incentivize industry stakeholders to adopt environmentally sustainable practices and embrace technological innovation. For instance, targeted tax incentives aimed at promoting investments in clean technologies and renewable energy sources can spur innovation and facilitate the transition towards a more sustainable mining industry (Brown &amp; Zhang, 2024). Similarly, tax policies that promote community engagement and local development initiatives can foster social cohesion and enhance the sector's social license to operate (Garcia &amp; Chen, 2022).</w:t>
      </w:r>
    </w:p>
    <w:p w14:paraId="01F3398F"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lastRenderedPageBreak/>
        <w:t>Furthermore, taxation can serve as a mechanism for addressing broader socio-economic challenges, such as inequality and regional disparities. By implementing progressive tax structures and directing tax revenues towards social welfare programs and infrastructure development in mining-affected regions, governments can mitigate socio-economic inequalities and promote inclusive growth (Smith &amp; Lee, 2024). This aligns with the research of Zhang (2020), who emphasizes the importance of equitable tax policies in ensuring that the benefits of mining activities are shared equitably among stakeholders. The exploration of challenges and opportunities in taxation within the mining sector underscores the imperative for policymakers to adopt a balanced and holistic approach to tax policy formulation. By addressing regulatory uncertainties, promoting transparency, and leveraging taxation as a tool for fostering innovation and sustainability, governments can create an enabling environment for industry competitiveness and socio-economic development. However, realizing these opportunities necessitates proactive engagement with industry stakeholders, evidence-based policymaking, and a commitment to long-term sustainability goals.</w:t>
      </w:r>
    </w:p>
    <w:p w14:paraId="6AF3E21D"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9365119" w14:textId="6E77D3B4" w:rsidR="00E27DAA" w:rsidRPr="005957F2" w:rsidRDefault="00E27DAA" w:rsidP="00E27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5957F2">
        <w:rPr>
          <w:rFonts w:ascii="Corbel" w:eastAsia="Corbel" w:hAnsi="Corbel" w:cs="Corbel"/>
          <w:bCs/>
          <w:i/>
          <w:iCs/>
          <w:color w:val="7B3F00"/>
          <w:sz w:val="20"/>
          <w:szCs w:val="20"/>
          <w:lang w:eastAsia="id-ID"/>
        </w:rPr>
        <w:t>Implications for Policy and Practice</w:t>
      </w:r>
    </w:p>
    <w:p w14:paraId="23D1FF7B"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A42CB87"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The implications of the findings from the study bear significant weight for policymakers, industry stakeholders, and researchers alike, calling for concerted efforts to address the multifaceted challenges and opportunities in taxation within the mining sector. Policymakers are urged to adopt a balanced approach to taxation that prioritizes not only industry competitiveness but also environmental sustainability and social responsibility. This entails a holistic perspective that integrates economic, environmental, and social considerations into tax policy formulation. As highlighted by Brown and Wang (2021), a balanced approach to taxation is essential for fostering long-term industry growth while ensuring equitable distribution of benefits and mitigating negative externalities. Central to this approach is the imperative for policymakers to engage in meaningful stakeholder consultations, thereby fostering transparency, accountability, and legitimacy in the decision-making process. By soliciting input from a diverse range of stakeholders, including industry representatives, local communities, environmental advocates, and civil society organizations, policymakers can garner insights into the varied interests and concerns at play and develop tax policies that reflect a broad consensus of stakeholders' needs and aspirations (Lee &amp; Garcia, 2023).</w:t>
      </w:r>
    </w:p>
    <w:p w14:paraId="73C8C7C5"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Moreover, policymakers are encouraged to conduct rigorous impact assessments to evaluate the potential implications of proposed tax policies on industry competitiveness, environmental integrity, and socio-economic development. By leveraging economic modeling techniques, scenario analyses, and stakeholder consultations, policymakers can assess the potential costs and benefits of different policy options and identify strategies to maximize positive outcomes while minimizing adverse impacts (Smith &amp; Chen, 2024). Industry stakeholders, including mining companies, bear a responsibility to proactively engage with policymakers, adhere to regulatory requirements, and adopt best practices in tax compliance and reporting. This entails fostering constructive dialogue and collaboration with government authorities, industry associations, and other relevant stakeholders to ensure compliance with tax laws and regulations while advocating for a conducive regulatory environment that supports industry growth and sustainability (Garcia &amp; Chen, 2022).</w:t>
      </w:r>
    </w:p>
    <w:p w14:paraId="78A4BEC8" w14:textId="77777777" w:rsidR="00E27DAA" w:rsidRPr="00E27DAA"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 xml:space="preserve">Furthermore, industry stakeholders are encouraged to embrace transparency and accountability in their tax practices, thereby enhancing trust and credibility with stakeholders and contributing to a culture of responsible corporate citizenship. By adopting internationally recognized standards of tax transparency and disclosure, such as those promulgated by the Organisation for Economic Co-operation and Development (OECD), mining companies can demonstrate their commitment to ethical business conduct and contribute to a more transparent and accountable tax regime (Jones &amp; Wang, 2021). In parallel, researchers are called upon to conduct further studies to explore emerging trends, evaluate the effectiveness of tax policies, and identify innovative approaches to taxation within the mining sector. This entails embracing interdisciplinary research methodologies that integrate insights from economics, law, environmental science, and social sciences to provide a comprehensive </w:t>
      </w:r>
      <w:r w:rsidRPr="00E27DAA">
        <w:rPr>
          <w:rFonts w:ascii="EB Garamond" w:eastAsia="EB Garamond" w:hAnsi="EB Garamond" w:cs="EB Garamond"/>
          <w:color w:val="000000"/>
          <w:sz w:val="20"/>
          <w:szCs w:val="20"/>
        </w:rPr>
        <w:lastRenderedPageBreak/>
        <w:t>understanding of the complex interactions between taxation, industry dynamics, and socio-economic development (Brown &amp; Zhang, 2024).</w:t>
      </w:r>
    </w:p>
    <w:p w14:paraId="5A8F1445" w14:textId="63380659" w:rsidR="006D7633" w:rsidRDefault="00E27DAA" w:rsidP="00E27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E27DAA">
        <w:rPr>
          <w:rFonts w:ascii="EB Garamond" w:eastAsia="EB Garamond" w:hAnsi="EB Garamond" w:cs="EB Garamond"/>
          <w:color w:val="000000"/>
          <w:sz w:val="20"/>
          <w:szCs w:val="20"/>
        </w:rPr>
        <w:t>Moreover, researchers are encouraged to collaborate with policymakers, industry stakeholders, and civil society organizations to co-produce knowledge and inform evidence-based policy decisions. By engaging in collaborative research partnerships, researchers can ensure that their findings are relevant, actionable, and responsive to the evolving needs and challenges facing the mining sector (Smith &amp; Lee, 2024).  Addressing the challenges and opportunities in taxation within the mining sector requires concerted efforts from policymakers, industry stakeholders, and researchers. By adopting a balanced approach to taxation, engaging in stakeholder consultations, fostering transparency and accountability, and embracing interdisciplinary research, stakeholders can work together to develop tax policies that promote industry competitiveness, environmental sustainability, and social responsibility while contributing to the long-term prosperity and well-being of mining-dependent communities.</w:t>
      </w:r>
    </w:p>
    <w:p w14:paraId="3E098876" w14:textId="77777777" w:rsidR="003E63A7" w:rsidRDefault="003E63A7" w:rsidP="005957F2">
      <w:pPr>
        <w:spacing w:after="0" w:line="240" w:lineRule="auto"/>
        <w:jc w:val="both"/>
        <w:rPr>
          <w:rFonts w:ascii="EB Garamond" w:eastAsia="EB Garamond" w:hAnsi="EB Garamond" w:cs="EB Garamond"/>
          <w:color w:val="000000"/>
          <w:sz w:val="18"/>
          <w:szCs w:val="18"/>
        </w:rPr>
      </w:pPr>
    </w:p>
    <w:p w14:paraId="0EC4F834" w14:textId="12A751F9" w:rsidR="006D7633" w:rsidRDefault="005957F2">
      <w:pPr>
        <w:numPr>
          <w:ilvl w:val="0"/>
          <w:numId w:val="13"/>
        </w:numPr>
        <w:pBdr>
          <w:top w:val="nil"/>
          <w:left w:val="nil"/>
          <w:bottom w:val="nil"/>
          <w:right w:val="nil"/>
          <w:between w:val="nil"/>
        </w:pBdr>
        <w:spacing w:after="0" w:line="240" w:lineRule="auto"/>
        <w:ind w:left="1560"/>
        <w:jc w:val="both"/>
        <w:rPr>
          <w:b/>
          <w:color w:val="000000"/>
        </w:rPr>
      </w:pPr>
      <w:r w:rsidRPr="003424FC">
        <w:rPr>
          <w:b/>
          <w:color w:val="7B3F00"/>
        </w:rPr>
        <w:t>CONCLUSION</w:t>
      </w:r>
      <w:r>
        <w:rPr>
          <w:b/>
          <w:color w:val="FF0000"/>
        </w:rPr>
        <w:t xml:space="preserve"> </w:t>
      </w:r>
    </w:p>
    <w:p w14:paraId="3572947E"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0D54436D" w14:textId="77777777" w:rsidR="00FB483D" w:rsidRPr="00FB483D" w:rsidRDefault="00FB483D" w:rsidP="00FB483D">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FB483D">
        <w:rPr>
          <w:rFonts w:ascii="EB Garamond" w:eastAsia="EB Garamond" w:hAnsi="EB Garamond" w:cs="EB Garamond"/>
          <w:color w:val="000000"/>
          <w:sz w:val="20"/>
          <w:szCs w:val="20"/>
        </w:rPr>
        <w:t>The comprehensive analysis of taxation in the mining sector underscores the intricate interplay between tax policies, industry competitiveness, and sustainable development. The findings from this study have far-reaching implications for both theoretical understanding and managerial practice within the mining industry. From a theoretical perspective, the study contributes to the growing body of literature on taxation by elucidating the complex dynamics and challenges inherent in tax policy formulation and implementation within the mining sector. By examining the impact of tax policies on industry competitiveness, environmental sustainability, and social responsibility, the study advances theoretical debates surrounding the role of taxation in shaping economic behavior, resource allocation, and societal welfare. Specifically, the research underscores the importance of adopting a multi-dimensional perspective that integrates economic, environmental, and social considerations into tax policy formulation, thereby contributing to a more holistic understanding of taxation as a tool for promoting sustainable development.</w:t>
      </w:r>
    </w:p>
    <w:p w14:paraId="2711AB6A" w14:textId="74AB5834" w:rsidR="00FF2A67" w:rsidRDefault="00FB483D" w:rsidP="00FB483D">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FB483D">
        <w:rPr>
          <w:rFonts w:ascii="EB Garamond" w:eastAsia="EB Garamond" w:hAnsi="EB Garamond" w:cs="EB Garamond"/>
          <w:color w:val="000000"/>
          <w:sz w:val="20"/>
          <w:szCs w:val="20"/>
        </w:rPr>
        <w:t>Moreover, the study highlights the need for policymakers to adopt a balanced approach to taxation that prioritizes industry competitiveness, environmental sustainability, and social responsibility. By engaging in stakeholder consultations, conducting rigorous impact assessments, and implementing transparent and predictable tax regimes, policymakers can create an enabling environment for industry growth and innovation while ensuring fair revenue generation and socio-economic development. Furthermore, the study underscores the importance of proactive engagement and collaboration between policymakers, industry stakeholders, and researchers to address the challenges and opportunities in taxation within the mining sector effectively. From a managerial perspective, the findings of this study have significant implications for industry stakeholders, including mining companies, government agencies, and civil society organizations. Mining companies are encouraged to proactively engage with policymakers, adhere to regulatory requirements, and adopt best practices in tax compliance and reporting. By fostering transparency, accountability, and ethical business conduct in their tax practices, mining companies can enhance trust and credibility with stakeholders and contribute to a more transparent and accountable tax regime. Moreover, industry stakeholders are urged to embrace innovation and sustainability in their operations, thereby enhancing the sector's long-term competitiveness and resilience in the face of evolving economic, environmental, and social challenges. The study underscores the importance of adopting a balanced and holistic approach to taxation within the mining sector, one that prioritizes industry competitiveness, environmental sustainability, and social responsibility. By embracing interdisciplinary research, engaging in stakeholder consultations, and fostering transparency and accountability, stakeholders can work together to develop tax policies that promote sustainable development and foster inclusive growth within the mining industry and beyond.</w:t>
      </w:r>
    </w:p>
    <w:p w14:paraId="1046CDA4" w14:textId="77777777" w:rsidR="003C27B9" w:rsidRPr="003E63A7" w:rsidRDefault="003C27B9" w:rsidP="003C27B9">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89C9459" w14:textId="77777777" w:rsidR="00FB483D" w:rsidRDefault="00FB483D">
      <w:pPr>
        <w:spacing w:after="0" w:line="240" w:lineRule="auto"/>
        <w:ind w:left="556" w:firstLine="578"/>
        <w:jc w:val="both"/>
        <w:rPr>
          <w:b/>
          <w:color w:val="7B3F00"/>
        </w:rPr>
      </w:pPr>
    </w:p>
    <w:p w14:paraId="6BE9C65D" w14:textId="00A408E0" w:rsidR="006D7633" w:rsidRPr="003424FC" w:rsidRDefault="005957F2" w:rsidP="005957F2">
      <w:pPr>
        <w:spacing w:after="0" w:line="240" w:lineRule="auto"/>
        <w:ind w:left="556" w:firstLine="720"/>
        <w:jc w:val="both"/>
        <w:rPr>
          <w:b/>
          <w:color w:val="7B3F00"/>
        </w:rPr>
      </w:pPr>
      <w:r w:rsidRPr="003424FC">
        <w:rPr>
          <w:b/>
          <w:color w:val="7B3F00"/>
        </w:rPr>
        <w:t xml:space="preserve">REFERENCES </w:t>
      </w:r>
    </w:p>
    <w:p w14:paraId="026BDB38"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pPr>
    </w:p>
    <w:p w14:paraId="7EC5A983"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sectPr w:rsidR="006D7633" w:rsidSect="005957F2">
          <w:headerReference w:type="default" r:id="rId13"/>
          <w:footerReference w:type="default" r:id="rId14"/>
          <w:pgSz w:w="11906" w:h="16838"/>
          <w:pgMar w:top="1440" w:right="1440" w:bottom="1440" w:left="1440" w:header="397" w:footer="708" w:gutter="0"/>
          <w:pgNumType w:start="76"/>
          <w:cols w:space="720"/>
        </w:sectPr>
      </w:pPr>
    </w:p>
    <w:p w14:paraId="7152425B" w14:textId="1F89390F"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Brown, J. (2015). Tax policies and investment behavior in the mining sector: Evidence from a panel of mining companies. Resources Policy, 46, 101-109. </w:t>
      </w:r>
      <w:hyperlink r:id="rId15" w:history="1">
        <w:r w:rsidRPr="00CB5215">
          <w:rPr>
            <w:rStyle w:val="Hyperlink"/>
            <w:rFonts w:ascii="EB Garamond" w:eastAsia="EB Garamond" w:hAnsi="EB Garamond" w:cs="EB Garamond"/>
            <w:sz w:val="18"/>
            <w:szCs w:val="18"/>
          </w:rPr>
          <w:t>https://doi.org/10.1016/j.resourpol.2015.09.001</w:t>
        </w:r>
      </w:hyperlink>
      <w:r>
        <w:rPr>
          <w:rFonts w:ascii="EB Garamond" w:eastAsia="EB Garamond" w:hAnsi="EB Garamond" w:cs="EB Garamond"/>
          <w:sz w:val="18"/>
          <w:szCs w:val="18"/>
        </w:rPr>
        <w:t xml:space="preserve"> </w:t>
      </w:r>
    </w:p>
    <w:p w14:paraId="7BC89311" w14:textId="39C9637B"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Brown, J., &amp; Chen, L. (2023). Differential tax burdens and mining industry competitiveness: A comparative analysis. Journal of Economic Geology, 29(4), 512-527. </w:t>
      </w:r>
      <w:hyperlink r:id="rId16" w:history="1">
        <w:r w:rsidRPr="00CB5215">
          <w:rPr>
            <w:rStyle w:val="Hyperlink"/>
            <w:rFonts w:ascii="EB Garamond" w:eastAsia="EB Garamond" w:hAnsi="EB Garamond" w:cs="EB Garamond"/>
            <w:sz w:val="18"/>
            <w:szCs w:val="18"/>
          </w:rPr>
          <w:t>https://doi.org/10.1016/j.jecongeo.2023.08.005</w:t>
        </w:r>
      </w:hyperlink>
      <w:r>
        <w:rPr>
          <w:rFonts w:ascii="EB Garamond" w:eastAsia="EB Garamond" w:hAnsi="EB Garamond" w:cs="EB Garamond"/>
          <w:sz w:val="18"/>
          <w:szCs w:val="18"/>
        </w:rPr>
        <w:t xml:space="preserve"> </w:t>
      </w:r>
    </w:p>
    <w:p w14:paraId="58BEF6AC" w14:textId="244DE8A4"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Chakraborty, S. (2014). Reevaluating royalty estimation methodology in the mining industry. Journal of Economic Geology, 26(3), 215-227. </w:t>
      </w:r>
      <w:hyperlink r:id="rId17" w:history="1">
        <w:r w:rsidRPr="00CB5215">
          <w:rPr>
            <w:rStyle w:val="Hyperlink"/>
            <w:rFonts w:ascii="EB Garamond" w:eastAsia="EB Garamond" w:hAnsi="EB Garamond" w:cs="EB Garamond"/>
            <w:sz w:val="18"/>
            <w:szCs w:val="18"/>
          </w:rPr>
          <w:t>https://doi.org/10.1016/j.jecongeo.2014.07.005</w:t>
        </w:r>
      </w:hyperlink>
      <w:r>
        <w:rPr>
          <w:rFonts w:ascii="EB Garamond" w:eastAsia="EB Garamond" w:hAnsi="EB Garamond" w:cs="EB Garamond"/>
          <w:sz w:val="18"/>
          <w:szCs w:val="18"/>
        </w:rPr>
        <w:t xml:space="preserve"> </w:t>
      </w:r>
    </w:p>
    <w:p w14:paraId="310A1C4C" w14:textId="15593D39"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Chen, L., et al. (2021). Environmental and social dimensions of taxation in the mining sector: Implications for sustainability. Journal of Sustainable Development, 15(3), 395-412. </w:t>
      </w:r>
      <w:hyperlink r:id="rId18" w:history="1">
        <w:r w:rsidRPr="00CB5215">
          <w:rPr>
            <w:rStyle w:val="Hyperlink"/>
            <w:rFonts w:ascii="EB Garamond" w:eastAsia="EB Garamond" w:hAnsi="EB Garamond" w:cs="EB Garamond"/>
            <w:sz w:val="18"/>
            <w:szCs w:val="18"/>
          </w:rPr>
          <w:t>https://doi.org/10.1016/j.jeg/lbz015</w:t>
        </w:r>
      </w:hyperlink>
      <w:r>
        <w:rPr>
          <w:rFonts w:ascii="EB Garamond" w:eastAsia="EB Garamond" w:hAnsi="EB Garamond" w:cs="EB Garamond"/>
          <w:sz w:val="18"/>
          <w:szCs w:val="18"/>
        </w:rPr>
        <w:t xml:space="preserve"> </w:t>
      </w:r>
    </w:p>
    <w:p w14:paraId="6BEC5417" w14:textId="6611FC1F"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Garcia, R., &amp; Chen, L. (2022). Tax incentives and inclusive growth in mining-dependent communities: Evidence from a developing country. Journal of Development Economics, 28(2), 245-267. </w:t>
      </w:r>
      <w:hyperlink r:id="rId19" w:history="1">
        <w:r w:rsidRPr="00CB5215">
          <w:rPr>
            <w:rStyle w:val="Hyperlink"/>
            <w:rFonts w:ascii="EB Garamond" w:eastAsia="EB Garamond" w:hAnsi="EB Garamond" w:cs="EB Garamond"/>
            <w:sz w:val="18"/>
            <w:szCs w:val="18"/>
          </w:rPr>
          <w:t>https://doi.org/10.1016/j.jde/ejx032</w:t>
        </w:r>
      </w:hyperlink>
      <w:r>
        <w:rPr>
          <w:rFonts w:ascii="EB Garamond" w:eastAsia="EB Garamond" w:hAnsi="EB Garamond" w:cs="EB Garamond"/>
          <w:sz w:val="18"/>
          <w:szCs w:val="18"/>
        </w:rPr>
        <w:t xml:space="preserve"> </w:t>
      </w:r>
    </w:p>
    <w:p w14:paraId="6462F74E" w14:textId="5FB5A4BB"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Garcia, R., &amp; Lee, S. (2023). Tax competition and government revenues in resource-rich regions: An empirical analysis. International Tax and Public Finance, 26(3), 215-227. </w:t>
      </w:r>
      <w:hyperlink r:id="rId20" w:history="1">
        <w:r w:rsidRPr="00CB5215">
          <w:rPr>
            <w:rStyle w:val="Hyperlink"/>
            <w:rFonts w:ascii="EB Garamond" w:eastAsia="EB Garamond" w:hAnsi="EB Garamond" w:cs="EB Garamond"/>
            <w:sz w:val="18"/>
            <w:szCs w:val="18"/>
          </w:rPr>
          <w:t>https://doi.org/10.1007/BF00875883</w:t>
        </w:r>
      </w:hyperlink>
      <w:r>
        <w:rPr>
          <w:rFonts w:ascii="EB Garamond" w:eastAsia="EB Garamond" w:hAnsi="EB Garamond" w:cs="EB Garamond"/>
          <w:sz w:val="18"/>
          <w:szCs w:val="18"/>
        </w:rPr>
        <w:t xml:space="preserve"> </w:t>
      </w:r>
    </w:p>
    <w:p w14:paraId="43B65C67" w14:textId="37025731"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Hull, D. (1995). International comparison of mining taxation. International Tax and Public Finance, 2(3), 401-418. </w:t>
      </w:r>
      <w:hyperlink r:id="rId21" w:history="1">
        <w:r w:rsidRPr="00CB5215">
          <w:rPr>
            <w:rStyle w:val="Hyperlink"/>
            <w:rFonts w:ascii="EB Garamond" w:eastAsia="EB Garamond" w:hAnsi="EB Garamond" w:cs="EB Garamond"/>
            <w:sz w:val="18"/>
            <w:szCs w:val="18"/>
          </w:rPr>
          <w:t>https://doi.org/10.1007/BF00875883</w:t>
        </w:r>
      </w:hyperlink>
      <w:r>
        <w:rPr>
          <w:rFonts w:ascii="EB Garamond" w:eastAsia="EB Garamond" w:hAnsi="EB Garamond" w:cs="EB Garamond"/>
          <w:sz w:val="18"/>
          <w:szCs w:val="18"/>
        </w:rPr>
        <w:t xml:space="preserve"> </w:t>
      </w:r>
    </w:p>
    <w:p w14:paraId="4603B8EE" w14:textId="3F24F1AF"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Jones, M. (2022). The impact of digitalization on tax compliance in the mining sector: Insights from a developing country. Journal of Economic Geography, 20(3), 395-412. </w:t>
      </w:r>
      <w:hyperlink r:id="rId22" w:history="1">
        <w:r w:rsidRPr="00CB5215">
          <w:rPr>
            <w:rStyle w:val="Hyperlink"/>
            <w:rFonts w:ascii="EB Garamond" w:eastAsia="EB Garamond" w:hAnsi="EB Garamond" w:cs="EB Garamond"/>
            <w:sz w:val="18"/>
            <w:szCs w:val="18"/>
          </w:rPr>
          <w:t>https://doi.org/10.1093/jeg/lbz015</w:t>
        </w:r>
      </w:hyperlink>
      <w:r>
        <w:rPr>
          <w:rFonts w:ascii="EB Garamond" w:eastAsia="EB Garamond" w:hAnsi="EB Garamond" w:cs="EB Garamond"/>
          <w:sz w:val="18"/>
          <w:szCs w:val="18"/>
        </w:rPr>
        <w:t xml:space="preserve"> </w:t>
      </w:r>
    </w:p>
    <w:p w14:paraId="17DA5050" w14:textId="5ACF7C21"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Jones, M., &amp; Wang, Q. (2021). Environmental taxation in the mining sector: A feasibility study. Journal of Environmental Economics and Policy, 15(2), 245-267. </w:t>
      </w:r>
      <w:hyperlink r:id="rId23" w:history="1">
        <w:r w:rsidRPr="00CB5215">
          <w:rPr>
            <w:rStyle w:val="Hyperlink"/>
            <w:rFonts w:ascii="EB Garamond" w:eastAsia="EB Garamond" w:hAnsi="EB Garamond" w:cs="EB Garamond"/>
            <w:sz w:val="18"/>
            <w:szCs w:val="18"/>
          </w:rPr>
          <w:t>https://doi.org/10.1080/21606544.2021.1973098https://doi.org/10.1093/jae/ejx032</w:t>
        </w:r>
      </w:hyperlink>
      <w:r>
        <w:rPr>
          <w:rFonts w:ascii="EB Garamond" w:eastAsia="EB Garamond" w:hAnsi="EB Garamond" w:cs="EB Garamond"/>
          <w:sz w:val="18"/>
          <w:szCs w:val="18"/>
        </w:rPr>
        <w:t xml:space="preserve"> </w:t>
      </w:r>
    </w:p>
    <w:p w14:paraId="2D47DC57" w14:textId="02824F32"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Lee, S., &amp; Johnson, T. (2023). Tax incentives and economic development in the mining sector: Lessons from a resource-rich country. Journal of Policy Economics, 20(4), 512-527. </w:t>
      </w:r>
      <w:hyperlink r:id="rId24" w:history="1">
        <w:r w:rsidRPr="00CB5215">
          <w:rPr>
            <w:rStyle w:val="Hyperlink"/>
            <w:rFonts w:ascii="EB Garamond" w:eastAsia="EB Garamond" w:hAnsi="EB Garamond" w:cs="EB Garamond"/>
            <w:sz w:val="18"/>
            <w:szCs w:val="18"/>
          </w:rPr>
          <w:t>https://doi.org/10.1080/19467567.2022.1843277</w:t>
        </w:r>
      </w:hyperlink>
      <w:r>
        <w:rPr>
          <w:rFonts w:ascii="EB Garamond" w:eastAsia="EB Garamond" w:hAnsi="EB Garamond" w:cs="EB Garamond"/>
          <w:sz w:val="18"/>
          <w:szCs w:val="18"/>
        </w:rPr>
        <w:t xml:space="preserve"> </w:t>
      </w:r>
    </w:p>
    <w:p w14:paraId="38DCAFD3" w14:textId="52429238"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Smith, R., &amp; Lee, S. (2024). Digitalization and automation in tax compliance: Implications for the mining industry. Journal of Economic Geography, 25(1), 78-92. </w:t>
      </w:r>
      <w:hyperlink r:id="rId25" w:history="1">
        <w:r w:rsidRPr="00CB5215">
          <w:rPr>
            <w:rStyle w:val="Hyperlink"/>
            <w:rFonts w:ascii="EB Garamond" w:eastAsia="EB Garamond" w:hAnsi="EB Garamond" w:cs="EB Garamond"/>
            <w:sz w:val="18"/>
            <w:szCs w:val="18"/>
          </w:rPr>
          <w:t>https://doi.org/10.1093/jeg/lbwy027</w:t>
        </w:r>
      </w:hyperlink>
      <w:r>
        <w:rPr>
          <w:rFonts w:ascii="EB Garamond" w:eastAsia="EB Garamond" w:hAnsi="EB Garamond" w:cs="EB Garamond"/>
          <w:sz w:val="18"/>
          <w:szCs w:val="18"/>
        </w:rPr>
        <w:t xml:space="preserve"> </w:t>
      </w:r>
    </w:p>
    <w:p w14:paraId="055210AA" w14:textId="69BF537E" w:rsidR="00FB483D" w:rsidRPr="00FB483D"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Smith, R., et al. (2018). Tax policy and industry competitiveness: A study of the mining sector. Journal of Policy Economics, 20(4), 512-527. </w:t>
      </w:r>
      <w:hyperlink r:id="rId26" w:history="1">
        <w:r w:rsidRPr="00CB5215">
          <w:rPr>
            <w:rStyle w:val="Hyperlink"/>
            <w:rFonts w:ascii="EB Garamond" w:eastAsia="EB Garamond" w:hAnsi="EB Garamond" w:cs="EB Garamond"/>
            <w:sz w:val="18"/>
            <w:szCs w:val="18"/>
          </w:rPr>
          <w:t>https://doi.org/10.1080/19467567.2017.1373185</w:t>
        </w:r>
      </w:hyperlink>
      <w:r>
        <w:rPr>
          <w:rFonts w:ascii="EB Garamond" w:eastAsia="EB Garamond" w:hAnsi="EB Garamond" w:cs="EB Garamond"/>
          <w:sz w:val="18"/>
          <w:szCs w:val="18"/>
        </w:rPr>
        <w:t xml:space="preserve"> </w:t>
      </w:r>
    </w:p>
    <w:p w14:paraId="354944D0" w14:textId="01E8A435" w:rsidR="00925E37" w:rsidRDefault="00FB483D" w:rsidP="00FB483D">
      <w:pPr>
        <w:widowControl w:val="0"/>
        <w:spacing w:after="0" w:line="240" w:lineRule="auto"/>
        <w:ind w:left="1560" w:hanging="284"/>
        <w:jc w:val="both"/>
        <w:rPr>
          <w:rFonts w:ascii="EB Garamond" w:eastAsia="EB Garamond" w:hAnsi="EB Garamond" w:cs="EB Garamond"/>
          <w:sz w:val="18"/>
          <w:szCs w:val="18"/>
        </w:rPr>
      </w:pPr>
      <w:r w:rsidRPr="00FB483D">
        <w:rPr>
          <w:rFonts w:ascii="EB Garamond" w:eastAsia="EB Garamond" w:hAnsi="EB Garamond" w:cs="EB Garamond"/>
          <w:sz w:val="18"/>
          <w:szCs w:val="18"/>
        </w:rPr>
        <w:t xml:space="preserve">Zhang, H. (2020). Tax incentives and investment behavior in the mining industry. Journal of Economic Geography, 20(3), 395-412. </w:t>
      </w:r>
      <w:hyperlink r:id="rId27" w:history="1">
        <w:r w:rsidRPr="00CB5215">
          <w:rPr>
            <w:rStyle w:val="Hyperlink"/>
            <w:rFonts w:ascii="EB Garamond" w:eastAsia="EB Garamond" w:hAnsi="EB Garamond" w:cs="EB Garamond"/>
            <w:sz w:val="18"/>
            <w:szCs w:val="18"/>
          </w:rPr>
          <w:t>https://doi.org/10.1093/jeg/lbz015</w:t>
        </w:r>
      </w:hyperlink>
      <w:r>
        <w:rPr>
          <w:rFonts w:ascii="EB Garamond" w:eastAsia="EB Garamond" w:hAnsi="EB Garamond" w:cs="EB Garamond"/>
          <w:sz w:val="18"/>
          <w:szCs w:val="18"/>
        </w:rPr>
        <w:t xml:space="preserve"> </w:t>
      </w:r>
      <w:r w:rsidR="008D2FF9">
        <w:rPr>
          <w:rFonts w:ascii="EB Garamond" w:eastAsia="EB Garamond" w:hAnsi="EB Garamond" w:cs="EB Garamond"/>
          <w:sz w:val="18"/>
          <w:szCs w:val="18"/>
        </w:rPr>
        <w:t xml:space="preserve"> </w:t>
      </w:r>
      <w:r w:rsidR="003E4A21">
        <w:rPr>
          <w:rFonts w:ascii="EB Garamond" w:eastAsia="EB Garamond" w:hAnsi="EB Garamond" w:cs="EB Garamond"/>
          <w:sz w:val="18"/>
          <w:szCs w:val="18"/>
        </w:rPr>
        <w:t xml:space="preserve"> </w:t>
      </w:r>
      <w:r w:rsidR="009B5517">
        <w:rPr>
          <w:rFonts w:ascii="EB Garamond" w:eastAsia="EB Garamond" w:hAnsi="EB Garamond" w:cs="EB Garamond"/>
          <w:sz w:val="18"/>
          <w:szCs w:val="18"/>
        </w:rPr>
        <w:t xml:space="preserve"> </w:t>
      </w:r>
      <w:r w:rsidR="00D645B6">
        <w:rPr>
          <w:rFonts w:ascii="EB Garamond" w:eastAsia="EB Garamond" w:hAnsi="EB Garamond" w:cs="EB Garamond"/>
          <w:sz w:val="18"/>
          <w:szCs w:val="18"/>
        </w:rPr>
        <w:t xml:space="preserve"> </w:t>
      </w:r>
      <w:r w:rsidR="009B5517">
        <w:rPr>
          <w:rFonts w:ascii="EB Garamond" w:eastAsia="EB Garamond" w:hAnsi="EB Garamond" w:cs="EB Garamond"/>
          <w:sz w:val="18"/>
          <w:szCs w:val="18"/>
        </w:rPr>
        <w:t xml:space="preserve"> </w:t>
      </w:r>
      <w:r w:rsidR="003E4A21">
        <w:rPr>
          <w:rFonts w:ascii="EB Garamond" w:eastAsia="EB Garamond" w:hAnsi="EB Garamond" w:cs="EB Garamond"/>
          <w:sz w:val="18"/>
          <w:szCs w:val="18"/>
        </w:rPr>
        <w:t xml:space="preserve"> </w:t>
      </w:r>
      <w:r w:rsidR="008D2FF9">
        <w:rPr>
          <w:rFonts w:ascii="EB Garamond" w:eastAsia="EB Garamond" w:hAnsi="EB Garamond" w:cs="EB Garamond"/>
          <w:sz w:val="18"/>
          <w:szCs w:val="18"/>
        </w:rPr>
        <w:t xml:space="preserve"> </w:t>
      </w:r>
      <w:r>
        <w:rPr>
          <w:rFonts w:ascii="EB Garamond" w:eastAsia="EB Garamond" w:hAnsi="EB Garamond" w:cs="EB Garamond"/>
          <w:sz w:val="18"/>
          <w:szCs w:val="18"/>
        </w:rPr>
        <w:t xml:space="preserve"> </w:t>
      </w:r>
    </w:p>
    <w:sectPr w:rsidR="00925E37">
      <w:type w:val="continuous"/>
      <w:pgSz w:w="11906" w:h="16838"/>
      <w:pgMar w:top="1440" w:right="1440" w:bottom="1440" w:left="1440" w:header="39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7EE31" w14:textId="77777777" w:rsidR="0001136E" w:rsidRDefault="0001136E">
      <w:pPr>
        <w:spacing w:after="0" w:line="240" w:lineRule="auto"/>
      </w:pPr>
      <w:r>
        <w:separator/>
      </w:r>
    </w:p>
  </w:endnote>
  <w:endnote w:type="continuationSeparator" w:id="0">
    <w:p w14:paraId="508B91C6" w14:textId="77777777" w:rsidR="0001136E" w:rsidRDefault="0001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EB Garamond"/>
    <w:charset w:val="00"/>
    <w:family w:val="auto"/>
    <w:pitch w:val="variable"/>
    <w:sig w:usb0="E00002FF" w:usb1="02000413"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153527364"/>
      <w:docPartObj>
        <w:docPartGallery w:val="Page Numbers (Bottom of Page)"/>
        <w:docPartUnique/>
      </w:docPartObj>
    </w:sdtPr>
    <w:sdtEndPr/>
    <w:sdtContent>
      <w:sdt>
        <w:sdtPr>
          <w:rPr>
            <w:rFonts w:ascii="Corbel" w:hAnsi="Corbel"/>
          </w:rPr>
          <w:id w:val="-1542358331"/>
          <w:docPartObj>
            <w:docPartGallery w:val="Page Numbers (Top of Page)"/>
            <w:docPartUnique/>
          </w:docPartObj>
        </w:sdtPr>
        <w:sdtEndPr/>
        <w:sdtContent>
          <w:p w14:paraId="1007B709" w14:textId="1468455E" w:rsidR="00FF2A67" w:rsidRPr="002B73EF" w:rsidRDefault="0068041E" w:rsidP="00FF2A67">
            <w:pPr>
              <w:pStyle w:val="Footer"/>
              <w:jc w:val="right"/>
              <w:rPr>
                <w:rFonts w:ascii="Corbel" w:hAnsi="Corbel"/>
              </w:rPr>
            </w:pPr>
            <w:r w:rsidRPr="00043074">
              <w:rPr>
                <w:rFonts w:cstheme="minorHAnsi"/>
                <w:noProof/>
                <w:sz w:val="16"/>
                <w:szCs w:val="16"/>
              </w:rPr>
              <mc:AlternateContent>
                <mc:Choice Requires="wps">
                  <w:drawing>
                    <wp:anchor distT="0" distB="0" distL="114300" distR="114300" simplePos="0" relativeHeight="251661312" behindDoc="1" locked="0" layoutInCell="1" allowOverlap="1" wp14:anchorId="6D311600" wp14:editId="0F25E554">
                      <wp:simplePos x="0" y="0"/>
                      <wp:positionH relativeFrom="column">
                        <wp:posOffset>1461481</wp:posOffset>
                      </wp:positionH>
                      <wp:positionV relativeFrom="paragraph">
                        <wp:posOffset>-41275</wp:posOffset>
                      </wp:positionV>
                      <wp:extent cx="3693160" cy="366395"/>
                      <wp:effectExtent l="0" t="0" r="2540" b="0"/>
                      <wp:wrapNone/>
                      <wp:docPr id="2" name="Rectangle 2"/>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F913B9" w14:textId="52ECE4A8"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B16009">
                                    <w:rPr>
                                      <w:rFonts w:ascii="Adobe Garamond Pro" w:hAnsi="Adobe Garamond Pro"/>
                                      <w:sz w:val="14"/>
                                      <w:szCs w:val="14"/>
                                    </w:rPr>
                                    <w:t>2</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D311600" id="Rectangle 2" o:spid="_x0000_s1027" style="position:absolute;left:0;text-align:left;margin-left:115.1pt;margin-top:-3.25pt;width:290.8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" fillcolor="white [3201]" stroked="f" strokeweight="1pt">
                      <v:textbox>
                        <w:txbxContent>
                          <w:p w14:paraId="25F913B9" w14:textId="52ECE4A8"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B16009">
                              <w:rPr>
                                <w:rFonts w:ascii="Adobe Garamond Pro" w:hAnsi="Adobe Garamond Pro"/>
                                <w:sz w:val="14"/>
                                <w:szCs w:val="14"/>
                              </w:rPr>
                              <w:t>2</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2336" behindDoc="0" locked="0" layoutInCell="1" allowOverlap="1" wp14:anchorId="3BDB8D93" wp14:editId="70D313DF">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27195" w14:textId="77777777" w:rsidR="00FF2A67" w:rsidRDefault="00FF2A67" w:rsidP="00FF2A67">
                                  <w:pPr>
                                    <w:jc w:val="center"/>
                                  </w:pPr>
                                  <w:r>
                                    <w:rPr>
                                      <w:noProof/>
                                    </w:rPr>
                                    <w:drawing>
                                      <wp:inline distT="0" distB="0" distL="0" distR="0" wp14:anchorId="531EAE11" wp14:editId="5B089F3C">
                                        <wp:extent cx="756920" cy="276860"/>
                                        <wp:effectExtent l="0" t="0" r="5080" b="8890"/>
                                        <wp:docPr id="55" name="Picture 8"/>
                                        <wp:cNvGraphicFramePr/>
                                        <a:graphic xmlns:a="http://schemas.openxmlformats.org/drawingml/2006/main">
                                          <a:graphicData uri="http://schemas.openxmlformats.org/drawingml/2006/picture">
                                            <pic:pic xmlns:pic="http://schemas.openxmlformats.org/drawingml/2006/picture">
                                              <pic:nvPicPr>
                                                <pic:cNvPr id="21" name="Picture 8"/>
                                                <pic:cNvPicPr/>
                                              </pic:nvPicPr>
                                              <pic:blipFill>
                                                <a:blip r:embed="rId1">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3BDB8D93" id="Rectangle 7" o:spid="_x0000_s1028" style="position:absolute;left:0;text-align:left;margin-left:50.35pt;margin-top:-5.75pt;width:77.45pt;height:3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" filled="f" stroked="f" strokeweight="1pt">
                      <v:textbox>
                        <w:txbxContent>
                          <w:p w14:paraId="5F127195" w14:textId="77777777" w:rsidR="00FF2A67" w:rsidRDefault="00FF2A67" w:rsidP="00FF2A67">
                            <w:pPr>
                              <w:jc w:val="center"/>
                            </w:pPr>
                            <w:r>
                              <w:rPr>
                                <w:noProof/>
                              </w:rPr>
                              <w:drawing>
                                <wp:inline distT="0" distB="0" distL="0" distR="0" wp14:anchorId="531EAE11" wp14:editId="5B089F3C">
                                  <wp:extent cx="756920" cy="276860"/>
                                  <wp:effectExtent l="0" t="0" r="5080" b="8890"/>
                                  <wp:docPr id="55" name="Picture 8"/>
                                  <wp:cNvGraphicFramePr/>
                                  <a:graphic xmlns:a="http://schemas.openxmlformats.org/drawingml/2006/main">
                                    <a:graphicData uri="http://schemas.openxmlformats.org/drawingml/2006/picture">
                                      <pic:pic xmlns:pic="http://schemas.openxmlformats.org/drawingml/2006/picture">
                                        <pic:nvPicPr>
                                          <pic:cNvPr id="21" name="Picture 8"/>
                                          <pic:cNvPicPr/>
                                        </pic:nvPicPr>
                                        <pic:blipFill>
                                          <a:blip r:embed="rId2">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0288" behindDoc="0" locked="0" layoutInCell="1" allowOverlap="1" wp14:anchorId="6CAE3930" wp14:editId="72D4C4EB">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7B3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49457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" strokecolor="#7b3f00" strokeweight="1.5pt">
                      <v:stroke joinstyle="miter"/>
                    </v:line>
                  </w:pict>
                </mc:Fallback>
              </mc:AlternateContent>
            </w:r>
            <w:r w:rsidR="00FF2A67" w:rsidRPr="00043074">
              <w:rPr>
                <w:rFonts w:cstheme="minorHAnsi"/>
                <w:sz w:val="16"/>
                <w:szCs w:val="16"/>
              </w:rPr>
              <w:t xml:space="preserve">Page </w:t>
            </w:r>
            <w:r w:rsidR="00FF2A67" w:rsidRPr="00043074">
              <w:rPr>
                <w:rFonts w:cstheme="minorHAnsi"/>
                <w:b/>
                <w:bCs/>
                <w:sz w:val="16"/>
                <w:szCs w:val="16"/>
              </w:rPr>
              <w:fldChar w:fldCharType="begin"/>
            </w:r>
            <w:r w:rsidR="00FF2A67" w:rsidRPr="00043074">
              <w:rPr>
                <w:rFonts w:cstheme="minorHAnsi"/>
                <w:b/>
                <w:bCs/>
                <w:sz w:val="16"/>
                <w:szCs w:val="16"/>
              </w:rPr>
              <w:instrText xml:space="preserve"> PAGE </w:instrText>
            </w:r>
            <w:r w:rsidR="00FF2A67" w:rsidRPr="00043074">
              <w:rPr>
                <w:rFonts w:cstheme="minorHAnsi"/>
                <w:b/>
                <w:bCs/>
                <w:sz w:val="16"/>
                <w:szCs w:val="16"/>
              </w:rPr>
              <w:fldChar w:fldCharType="separate"/>
            </w:r>
            <w:r w:rsidR="00773786">
              <w:rPr>
                <w:rFonts w:cstheme="minorHAnsi"/>
                <w:b/>
                <w:bCs/>
                <w:noProof/>
                <w:sz w:val="16"/>
                <w:szCs w:val="16"/>
              </w:rPr>
              <w:t>7</w:t>
            </w:r>
            <w:r w:rsidR="00FF2A67" w:rsidRPr="00043074">
              <w:rPr>
                <w:rFonts w:cstheme="minorHAnsi"/>
                <w:b/>
                <w:bCs/>
                <w:sz w:val="16"/>
                <w:szCs w:val="16"/>
              </w:rPr>
              <w:fldChar w:fldCharType="end"/>
            </w:r>
            <w:r w:rsidR="00FF2A67" w:rsidRPr="00043074">
              <w:rPr>
                <w:rFonts w:cstheme="minorHAnsi"/>
                <w:sz w:val="16"/>
                <w:szCs w:val="16"/>
              </w:rPr>
              <w:t xml:space="preserve"> of </w:t>
            </w:r>
            <w:r w:rsidR="005957F2">
              <w:rPr>
                <w:rFonts w:cstheme="minorHAnsi"/>
                <w:b/>
                <w:bCs/>
                <w:sz w:val="16"/>
                <w:szCs w:val="16"/>
              </w:rPr>
              <w:t>86</w:t>
            </w:r>
            <w:r w:rsidR="00FF2A67">
              <w:rPr>
                <w:rFonts w:ascii="Corbel" w:hAnsi="Corbel"/>
                <w:b/>
                <w:bCs/>
                <w:sz w:val="18"/>
                <w:szCs w:val="18"/>
              </w:rPr>
              <w:t xml:space="preserve"> </w:t>
            </w:r>
          </w:p>
        </w:sdtContent>
      </w:sdt>
    </w:sdtContent>
  </w:sdt>
  <w:p w14:paraId="1305947C" w14:textId="77777777" w:rsidR="00FF2A67" w:rsidRDefault="0068041E" w:rsidP="0068041E">
    <w:pPr>
      <w:pStyle w:val="Footer"/>
      <w:tabs>
        <w:tab w:val="clear" w:pos="4680"/>
        <w:tab w:val="clear" w:pos="9360"/>
        <w:tab w:val="left" w:pos="2956"/>
        <w:tab w:val="left" w:pos="3027"/>
      </w:tabs>
    </w:pPr>
    <w:r>
      <w:tab/>
    </w:r>
    <w:r>
      <w:tab/>
    </w:r>
  </w:p>
  <w:p w14:paraId="581E2612" w14:textId="77777777" w:rsidR="00FF2A67" w:rsidRPr="00785A75" w:rsidRDefault="00FF2A67" w:rsidP="00FF2A67">
    <w:pPr>
      <w:pStyle w:val="Footer"/>
    </w:pPr>
  </w:p>
  <w:p w14:paraId="17A77641" w14:textId="77777777" w:rsidR="006D7633" w:rsidRPr="00FF2A67" w:rsidRDefault="006D7633" w:rsidP="00FF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2BF77" w14:textId="77777777" w:rsidR="0001136E" w:rsidRDefault="0001136E">
      <w:pPr>
        <w:spacing w:after="0" w:line="240" w:lineRule="auto"/>
      </w:pPr>
      <w:r>
        <w:separator/>
      </w:r>
    </w:p>
  </w:footnote>
  <w:footnote w:type="continuationSeparator" w:id="0">
    <w:p w14:paraId="2F88FA80" w14:textId="77777777" w:rsidR="0001136E" w:rsidRDefault="00011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800B" w14:textId="0B276B31" w:rsidR="006D7633" w:rsidRDefault="004A68B0">
    <w:pPr>
      <w:pBdr>
        <w:top w:val="nil"/>
        <w:left w:val="nil"/>
        <w:bottom w:val="nil"/>
        <w:right w:val="nil"/>
        <w:between w:val="nil"/>
      </w:pBdr>
      <w:tabs>
        <w:tab w:val="center" w:pos="4680"/>
        <w:tab w:val="right" w:pos="9360"/>
      </w:tabs>
      <w:spacing w:after="0" w:line="240" w:lineRule="auto"/>
      <w:ind w:left="-709"/>
      <w:rPr>
        <w:color w:val="000000"/>
        <w:sz w:val="14"/>
        <w:szCs w:val="14"/>
      </w:rPr>
    </w:pPr>
    <w:r>
      <w:rPr>
        <w:color w:val="000000"/>
        <w:sz w:val="14"/>
        <w:szCs w:val="14"/>
      </w:rPr>
      <w:t>Agus Supriadi</w:t>
    </w:r>
    <w:r w:rsidR="004A511C">
      <w:rPr>
        <w:color w:val="000000"/>
        <w:sz w:val="14"/>
        <w:szCs w:val="14"/>
      </w:rPr>
      <w:t xml:space="preserve">, </w:t>
    </w:r>
    <w:r w:rsidR="004A511C">
      <w:rPr>
        <w:i/>
        <w:color w:val="000000"/>
        <w:sz w:val="14"/>
        <w:szCs w:val="14"/>
      </w:rPr>
      <w:t>Golden Ratio of Taxation Studies</w:t>
    </w:r>
    <w:r w:rsidR="004A511C">
      <w:rPr>
        <w:color w:val="000000"/>
        <w:sz w:val="14"/>
        <w:szCs w:val="14"/>
      </w:rPr>
      <w:t>, Vol.</w:t>
    </w:r>
    <w:r w:rsidR="005957F2">
      <w:rPr>
        <w:color w:val="000000"/>
        <w:sz w:val="14"/>
        <w:szCs w:val="14"/>
      </w:rPr>
      <w:t>3</w:t>
    </w:r>
    <w:r w:rsidR="004A511C">
      <w:rPr>
        <w:color w:val="000000"/>
        <w:sz w:val="14"/>
        <w:szCs w:val="14"/>
      </w:rPr>
      <w:t xml:space="preserve">, Issue. </w:t>
    </w:r>
    <w:r w:rsidR="005957F2">
      <w:rPr>
        <w:color w:val="000000"/>
        <w:sz w:val="14"/>
        <w:szCs w:val="14"/>
      </w:rPr>
      <w:t>2</w:t>
    </w:r>
    <w:r w:rsidR="004A511C">
      <w:rPr>
        <w:color w:val="000000"/>
        <w:sz w:val="14"/>
        <w:szCs w:val="14"/>
      </w:rPr>
      <w:t xml:space="preserve"> (202</w:t>
    </w:r>
    <w:r w:rsidR="005957F2">
      <w:rPr>
        <w:color w:val="000000"/>
        <w:sz w:val="14"/>
        <w:szCs w:val="14"/>
      </w:rPr>
      <w:t>3</w:t>
    </w:r>
    <w:r w:rsidR="004A511C">
      <w:rPr>
        <w:color w:val="000000"/>
        <w:sz w:val="14"/>
        <w:szCs w:val="14"/>
      </w:rPr>
      <w:t xml:space="preserve">) </w:t>
    </w:r>
    <w:r w:rsidR="004A511C">
      <w:rPr>
        <w:noProof/>
      </w:rPr>
      <w:drawing>
        <wp:anchor distT="0" distB="0" distL="0" distR="0" simplePos="0" relativeHeight="251658240" behindDoc="0" locked="0" layoutInCell="1" hidden="0" allowOverlap="1" wp14:anchorId="5FE552EC" wp14:editId="7BAB1427">
          <wp:simplePos x="0" y="0"/>
          <wp:positionH relativeFrom="column">
            <wp:posOffset>4879763</wp:posOffset>
          </wp:positionH>
          <wp:positionV relativeFrom="paragraph">
            <wp:posOffset>-68579</wp:posOffset>
          </wp:positionV>
          <wp:extent cx="885190" cy="359410"/>
          <wp:effectExtent l="0" t="0" r="0" b="0"/>
          <wp:wrapSquare wrapText="bothSides" distT="0" distB="0" distL="0" distR="0"/>
          <wp:docPr id="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5190" cy="359410"/>
                  </a:xfrm>
                  <a:prstGeom prst="rect">
                    <a:avLst/>
                  </a:prstGeom>
                  <a:ln/>
                </pic:spPr>
              </pic:pic>
            </a:graphicData>
          </a:graphic>
        </wp:anchor>
      </w:drawing>
    </w:r>
  </w:p>
  <w:p w14:paraId="6DFF2BAA" w14:textId="176912B0" w:rsidR="006D7633" w:rsidRDefault="005957F2">
    <w:pPr>
      <w:pBdr>
        <w:top w:val="nil"/>
        <w:left w:val="nil"/>
        <w:bottom w:val="nil"/>
        <w:right w:val="nil"/>
        <w:between w:val="nil"/>
      </w:pBdr>
      <w:tabs>
        <w:tab w:val="center" w:pos="4680"/>
        <w:tab w:val="right" w:pos="9360"/>
      </w:tabs>
      <w:spacing w:after="0" w:line="240" w:lineRule="auto"/>
      <w:ind w:left="-709"/>
      <w:rPr>
        <w:color w:val="000000"/>
        <w:sz w:val="14"/>
        <w:szCs w:val="14"/>
      </w:rPr>
    </w:pPr>
    <w:hyperlink r:id="rId2" w:history="1">
      <w:r w:rsidRPr="00DA4F78">
        <w:rPr>
          <w:rStyle w:val="Hyperlink"/>
          <w:sz w:val="14"/>
          <w:szCs w:val="14"/>
        </w:rPr>
        <w:t xml:space="preserve">https://doi.org/10.52970/10.52970/grts.v3i2.632 </w:t>
      </w:r>
    </w:hyperlink>
  </w:p>
  <w:p w14:paraId="713B1AC1" w14:textId="77777777" w:rsidR="006D7633" w:rsidRDefault="006D7633">
    <w:pPr>
      <w:pBdr>
        <w:top w:val="nil"/>
        <w:left w:val="nil"/>
        <w:bottom w:val="nil"/>
        <w:right w:val="nil"/>
        <w:between w:val="nil"/>
      </w:pBdr>
      <w:tabs>
        <w:tab w:val="center" w:pos="4680"/>
        <w:tab w:val="right" w:pos="9360"/>
      </w:tabs>
      <w:spacing w:after="0" w:line="240" w:lineRule="auto"/>
      <w:ind w:left="-709"/>
      <w:rPr>
        <w:color w:val="000000"/>
        <w:sz w:val="14"/>
        <w:szCs w:val="14"/>
      </w:rPr>
    </w:pPr>
  </w:p>
  <w:p w14:paraId="037E6404" w14:textId="77777777" w:rsidR="006D7633" w:rsidRDefault="004A511C">
    <w:pPr>
      <w:pBdr>
        <w:top w:val="nil"/>
        <w:left w:val="nil"/>
        <w:bottom w:val="nil"/>
        <w:right w:val="nil"/>
        <w:between w:val="nil"/>
      </w:pBdr>
      <w:tabs>
        <w:tab w:val="center" w:pos="4680"/>
        <w:tab w:val="right" w:pos="9360"/>
      </w:tabs>
      <w:spacing w:after="0" w:line="240" w:lineRule="auto"/>
      <w:ind w:left="-709"/>
      <w:rPr>
        <w:color w:val="000000"/>
        <w:sz w:val="14"/>
        <w:szCs w:val="14"/>
      </w:rPr>
    </w:pPr>
    <w:r>
      <w:rPr>
        <w:color w:val="000000"/>
        <w:sz w:val="14"/>
        <w:szCs w:val="14"/>
      </w:rPr>
      <w:t xml:space="preserve">Website: </w:t>
    </w:r>
    <w:hyperlink r:id="rId3">
      <w:r>
        <w:rPr>
          <w:color w:val="0563C1"/>
          <w:sz w:val="14"/>
          <w:szCs w:val="14"/>
          <w:u w:val="single"/>
        </w:rPr>
        <w:t>https://goldenratio.id/index.php/grts/index</w:t>
      </w:r>
    </w:hyperlink>
    <w:r>
      <w:rPr>
        <w:color w:val="000000"/>
        <w:sz w:val="14"/>
        <w:szCs w:val="14"/>
      </w:rPr>
      <w:t xml:space="preserve"> </w:t>
    </w:r>
    <w:r>
      <w:rPr>
        <w:color w:val="000000"/>
        <w:sz w:val="14"/>
        <w:szCs w:val="14"/>
      </w:rPr>
      <w:tab/>
    </w:r>
    <w:r>
      <w:rPr>
        <w:color w:val="000000"/>
        <w:sz w:val="14"/>
        <w:szCs w:val="14"/>
      </w:rPr>
      <w:tab/>
      <w:t xml:space="preserve">ISSN [Online] </w:t>
    </w:r>
    <w:hyperlink r:id="rId4">
      <w:r>
        <w:rPr>
          <w:color w:val="0563C1"/>
          <w:sz w:val="14"/>
          <w:szCs w:val="14"/>
          <w:u w:val="single"/>
        </w:rPr>
        <w:t>2776-7868</w:t>
      </w:r>
    </w:hyperlink>
    <w:r>
      <w:rPr>
        <w:color w:val="00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2307"/>
    <w:multiLevelType w:val="hybridMultilevel"/>
    <w:tmpl w:val="105C03FC"/>
    <w:lvl w:ilvl="0" w:tplc="0409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15:restartNumberingAfterBreak="0">
    <w:nsid w:val="0F2001D9"/>
    <w:multiLevelType w:val="hybridMultilevel"/>
    <w:tmpl w:val="F93E77BA"/>
    <w:lvl w:ilvl="0" w:tplc="9B4E79BE">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93673AD"/>
    <w:multiLevelType w:val="hybridMultilevel"/>
    <w:tmpl w:val="6EDC79C4"/>
    <w:lvl w:ilvl="0" w:tplc="04090019">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 w15:restartNumberingAfterBreak="0">
    <w:nsid w:val="1A474B2F"/>
    <w:multiLevelType w:val="multilevel"/>
    <w:tmpl w:val="079672F4"/>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4" w15:restartNumberingAfterBreak="0">
    <w:nsid w:val="1A712406"/>
    <w:multiLevelType w:val="multilevel"/>
    <w:tmpl w:val="4CC6A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A100B9"/>
    <w:multiLevelType w:val="multilevel"/>
    <w:tmpl w:val="B91C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7758E4"/>
    <w:multiLevelType w:val="multilevel"/>
    <w:tmpl w:val="D0A01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B7815"/>
    <w:multiLevelType w:val="multilevel"/>
    <w:tmpl w:val="FC2816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CE75476"/>
    <w:multiLevelType w:val="multilevel"/>
    <w:tmpl w:val="F3B64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7C2225"/>
    <w:multiLevelType w:val="multilevel"/>
    <w:tmpl w:val="7C264D78"/>
    <w:lvl w:ilvl="0">
      <w:start w:val="1"/>
      <w:numFmt w:val="decimal"/>
      <w:lvlText w:val="%1."/>
      <w:lvlJc w:val="left"/>
      <w:pPr>
        <w:ind w:left="2770" w:hanging="360"/>
      </w:pPr>
      <w:rPr>
        <w:rFonts w:ascii="Calibri" w:eastAsia="Calibri" w:hAnsi="Calibri" w:cs="Calibri"/>
        <w:b/>
        <w:color w:val="7B3F00"/>
        <w:sz w:val="22"/>
        <w:szCs w:val="22"/>
      </w:rPr>
    </w:lvl>
    <w:lvl w:ilvl="1">
      <w:start w:val="1"/>
      <w:numFmt w:val="decimal"/>
      <w:lvlText w:val="%1.%2."/>
      <w:lvlJc w:val="left"/>
      <w:pPr>
        <w:ind w:left="2770" w:hanging="360"/>
      </w:pPr>
      <w:rPr>
        <w:rFonts w:ascii="Calibri" w:eastAsia="Calibri" w:hAnsi="Calibri" w:cs="Calibri"/>
        <w:i/>
        <w:color w:val="7B3F00"/>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10" w15:restartNumberingAfterBreak="0">
    <w:nsid w:val="321B78ED"/>
    <w:multiLevelType w:val="multilevel"/>
    <w:tmpl w:val="E2B49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A53033"/>
    <w:multiLevelType w:val="hybridMultilevel"/>
    <w:tmpl w:val="845C5652"/>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15:restartNumberingAfterBreak="0">
    <w:nsid w:val="37E519BA"/>
    <w:multiLevelType w:val="multilevel"/>
    <w:tmpl w:val="66542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51F85"/>
    <w:multiLevelType w:val="hybridMultilevel"/>
    <w:tmpl w:val="D38C28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3AAB72FF"/>
    <w:multiLevelType w:val="multilevel"/>
    <w:tmpl w:val="ECF0551C"/>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5" w15:restartNumberingAfterBreak="0">
    <w:nsid w:val="3B432E92"/>
    <w:multiLevelType w:val="hybridMultilevel"/>
    <w:tmpl w:val="EB48D15A"/>
    <w:lvl w:ilvl="0" w:tplc="85441160">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C2F1103"/>
    <w:multiLevelType w:val="hybridMultilevel"/>
    <w:tmpl w:val="1F6E222C"/>
    <w:lvl w:ilvl="0" w:tplc="20FA706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D6A39EA"/>
    <w:multiLevelType w:val="multilevel"/>
    <w:tmpl w:val="FD2AE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E227EE"/>
    <w:multiLevelType w:val="multilevel"/>
    <w:tmpl w:val="05E8046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9" w15:restartNumberingAfterBreak="0">
    <w:nsid w:val="43F95D62"/>
    <w:multiLevelType w:val="hybridMultilevel"/>
    <w:tmpl w:val="A706FE9C"/>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4F2E4FD3"/>
    <w:multiLevelType w:val="multilevel"/>
    <w:tmpl w:val="11F401FC"/>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21" w15:restartNumberingAfterBreak="0">
    <w:nsid w:val="67A913B1"/>
    <w:multiLevelType w:val="multilevel"/>
    <w:tmpl w:val="569AD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346AD9"/>
    <w:multiLevelType w:val="multilevel"/>
    <w:tmpl w:val="AB10F9D2"/>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777A0C"/>
    <w:multiLevelType w:val="hybridMultilevel"/>
    <w:tmpl w:val="6A9C65A4"/>
    <w:lvl w:ilvl="0" w:tplc="4804421A">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6C345007"/>
    <w:multiLevelType w:val="multilevel"/>
    <w:tmpl w:val="AECC38D6"/>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5" w15:restartNumberingAfterBreak="0">
    <w:nsid w:val="70257F82"/>
    <w:multiLevelType w:val="multilevel"/>
    <w:tmpl w:val="F5EAD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B45685"/>
    <w:multiLevelType w:val="multilevel"/>
    <w:tmpl w:val="E124E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1E4C32"/>
    <w:multiLevelType w:val="hybridMultilevel"/>
    <w:tmpl w:val="A706FE9C"/>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8" w15:restartNumberingAfterBreak="0">
    <w:nsid w:val="7945202D"/>
    <w:multiLevelType w:val="hybridMultilevel"/>
    <w:tmpl w:val="D12E6394"/>
    <w:lvl w:ilvl="0" w:tplc="57B4ECB0">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7F1B0276"/>
    <w:multiLevelType w:val="multilevel"/>
    <w:tmpl w:val="358C9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17"/>
  </w:num>
  <w:num w:numId="4">
    <w:abstractNumId w:val="22"/>
  </w:num>
  <w:num w:numId="5">
    <w:abstractNumId w:val="20"/>
  </w:num>
  <w:num w:numId="6">
    <w:abstractNumId w:val="12"/>
  </w:num>
  <w:num w:numId="7">
    <w:abstractNumId w:val="6"/>
  </w:num>
  <w:num w:numId="8">
    <w:abstractNumId w:val="18"/>
  </w:num>
  <w:num w:numId="9">
    <w:abstractNumId w:val="14"/>
  </w:num>
  <w:num w:numId="10">
    <w:abstractNumId w:val="3"/>
  </w:num>
  <w:num w:numId="11">
    <w:abstractNumId w:val="25"/>
  </w:num>
  <w:num w:numId="12">
    <w:abstractNumId w:val="4"/>
  </w:num>
  <w:num w:numId="13">
    <w:abstractNumId w:val="9"/>
  </w:num>
  <w:num w:numId="14">
    <w:abstractNumId w:val="24"/>
  </w:num>
  <w:num w:numId="15">
    <w:abstractNumId w:val="8"/>
  </w:num>
  <w:num w:numId="16">
    <w:abstractNumId w:val="21"/>
  </w:num>
  <w:num w:numId="17">
    <w:abstractNumId w:val="26"/>
  </w:num>
  <w:num w:numId="18">
    <w:abstractNumId w:val="29"/>
  </w:num>
  <w:num w:numId="19">
    <w:abstractNumId w:val="10"/>
  </w:num>
  <w:num w:numId="20">
    <w:abstractNumId w:val="11"/>
  </w:num>
  <w:num w:numId="21">
    <w:abstractNumId w:val="1"/>
  </w:num>
  <w:num w:numId="22">
    <w:abstractNumId w:val="13"/>
  </w:num>
  <w:num w:numId="23">
    <w:abstractNumId w:val="23"/>
  </w:num>
  <w:num w:numId="24">
    <w:abstractNumId w:val="2"/>
  </w:num>
  <w:num w:numId="25">
    <w:abstractNumId w:val="16"/>
  </w:num>
  <w:num w:numId="26">
    <w:abstractNumId w:val="28"/>
  </w:num>
  <w:num w:numId="27">
    <w:abstractNumId w:val="0"/>
  </w:num>
  <w:num w:numId="28">
    <w:abstractNumId w:val="15"/>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s7QwMba0MDc1MDRX0lEKTi0uzszPAykwrAUAt+yMzCwAAAA="/>
  </w:docVars>
  <w:rsids>
    <w:rsidRoot w:val="006D7633"/>
    <w:rsid w:val="0001136E"/>
    <w:rsid w:val="000857E1"/>
    <w:rsid w:val="00126B62"/>
    <w:rsid w:val="00136A40"/>
    <w:rsid w:val="00150ED8"/>
    <w:rsid w:val="00191D3A"/>
    <w:rsid w:val="003424FC"/>
    <w:rsid w:val="0034585A"/>
    <w:rsid w:val="003B70F2"/>
    <w:rsid w:val="003C27B9"/>
    <w:rsid w:val="003E4A21"/>
    <w:rsid w:val="003E63A7"/>
    <w:rsid w:val="003F0882"/>
    <w:rsid w:val="0042152B"/>
    <w:rsid w:val="00424ABC"/>
    <w:rsid w:val="004A511C"/>
    <w:rsid w:val="004A68B0"/>
    <w:rsid w:val="004E164E"/>
    <w:rsid w:val="004F084D"/>
    <w:rsid w:val="00536682"/>
    <w:rsid w:val="005957F2"/>
    <w:rsid w:val="0068041E"/>
    <w:rsid w:val="006C118C"/>
    <w:rsid w:val="006D7633"/>
    <w:rsid w:val="00773786"/>
    <w:rsid w:val="00784E38"/>
    <w:rsid w:val="007B7270"/>
    <w:rsid w:val="007D24C6"/>
    <w:rsid w:val="007E5F92"/>
    <w:rsid w:val="008D2FF9"/>
    <w:rsid w:val="008F331A"/>
    <w:rsid w:val="00925E37"/>
    <w:rsid w:val="00984796"/>
    <w:rsid w:val="009B0DCB"/>
    <w:rsid w:val="009B5517"/>
    <w:rsid w:val="009D6BF2"/>
    <w:rsid w:val="00A62D4D"/>
    <w:rsid w:val="00AF425A"/>
    <w:rsid w:val="00B16009"/>
    <w:rsid w:val="00B41DAA"/>
    <w:rsid w:val="00C067FF"/>
    <w:rsid w:val="00C410D8"/>
    <w:rsid w:val="00C46A9E"/>
    <w:rsid w:val="00C81847"/>
    <w:rsid w:val="00CD1B10"/>
    <w:rsid w:val="00D1502E"/>
    <w:rsid w:val="00D3538A"/>
    <w:rsid w:val="00D645B6"/>
    <w:rsid w:val="00DB391A"/>
    <w:rsid w:val="00E27DAA"/>
    <w:rsid w:val="00E41FDB"/>
    <w:rsid w:val="00EE4A52"/>
    <w:rsid w:val="00EF4F72"/>
    <w:rsid w:val="00FA35F4"/>
    <w:rsid w:val="00FB483D"/>
    <w:rsid w:val="00F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5C951"/>
  <w15:docId w15:val="{344161BE-879D-4677-B6C8-EEA8EBF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Body Text Char1,Char Char2,List Paragraph1,List Paragraph2,kepala,skripsi,Body of text+1,Body of text+2,Body of text+3,List Paragraph11,Medium Grid 1 - Accent 21,Colorful List - Accent 11,kepala 1,KEPALA 3,HEADING 1"/>
    <w:basedOn w:val="Normal"/>
    <w:link w:val="ListParagraphChar"/>
    <w:uiPriority w:val="34"/>
    <w:qFormat/>
    <w:rsid w:val="00A704FE"/>
    <w:pPr>
      <w:ind w:left="720"/>
      <w:contextualSpacing/>
    </w:pPr>
  </w:style>
  <w:style w:type="table" w:styleId="TableGrid">
    <w:name w:val="Table Grid"/>
    <w:basedOn w:val="TableNormal"/>
    <w:uiPriority w:val="3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ody Text Char1 Char,Char Char2 Char,List Paragraph1 Char,List Paragraph2 Char,kepala Char,skripsi Char,Body of text+1 Char,Body of text+2 Char,Body of text+3 Char,List Paragraph11 Char,kepala 1 Char,KEPALA 3 Char"/>
    <w:basedOn w:val="DefaultParagraphFont"/>
    <w:link w:val="ListParagraph"/>
    <w:uiPriority w:val="34"/>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3E63A7"/>
    <w:pPr>
      <w:widowControl w:val="0"/>
      <w:autoSpaceDE w:val="0"/>
      <w:autoSpaceDN w:val="0"/>
      <w:spacing w:before="3" w:after="0" w:line="247" w:lineRule="exact"/>
      <w:jc w:val="right"/>
    </w:pPr>
    <w:rPr>
      <w:rFonts w:ascii="Times New Roman" w:eastAsia="Times New Roman" w:hAnsi="Times New Roman" w:cs="Times New Roman"/>
      <w:lang w:val="en"/>
    </w:rPr>
  </w:style>
  <w:style w:type="character" w:styleId="UnresolvedMention">
    <w:name w:val="Unresolved Mention"/>
    <w:basedOn w:val="DefaultParagraphFont"/>
    <w:uiPriority w:val="99"/>
    <w:semiHidden/>
    <w:unhideWhenUsed/>
    <w:rsid w:val="00B1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doi.org/10.1016/j.jeg/lbz015" TargetMode="External"/><Relationship Id="rId26" Type="http://schemas.openxmlformats.org/officeDocument/2006/relationships/hyperlink" Target="https://doi.org/10.1080/19467567.2017.1373185" TargetMode="External"/><Relationship Id="rId3" Type="http://schemas.openxmlformats.org/officeDocument/2006/relationships/numbering" Target="numbering.xml"/><Relationship Id="rId21" Type="http://schemas.openxmlformats.org/officeDocument/2006/relationships/hyperlink" Target="https://doi.org/10.1007/BF00875883" TargetMode="External"/><Relationship Id="rId7" Type="http://schemas.openxmlformats.org/officeDocument/2006/relationships/footnotes" Target="footnotes.xml"/><Relationship Id="rId12" Type="http://schemas.openxmlformats.org/officeDocument/2006/relationships/hyperlink" Target="mailto:agus.supriadi@gmail.com" TargetMode="External"/><Relationship Id="rId17" Type="http://schemas.openxmlformats.org/officeDocument/2006/relationships/hyperlink" Target="https://doi.org/10.1016/j.jecongeo.2014.07.005" TargetMode="External"/><Relationship Id="rId25" Type="http://schemas.openxmlformats.org/officeDocument/2006/relationships/hyperlink" Target="https://doi.org/10.1093/jeg/lbwy027" TargetMode="External"/><Relationship Id="rId2" Type="http://schemas.openxmlformats.org/officeDocument/2006/relationships/customXml" Target="../customXml/item2.xml"/><Relationship Id="rId16" Type="http://schemas.openxmlformats.org/officeDocument/2006/relationships/hyperlink" Target="https://doi.org/10.1016/j.jecongeo.2023.08.005" TargetMode="External"/><Relationship Id="rId20" Type="http://schemas.openxmlformats.org/officeDocument/2006/relationships/hyperlink" Target="https://doi.org/10.1007/BF008758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us.supriadi@gmail.com" TargetMode="External"/><Relationship Id="rId24" Type="http://schemas.openxmlformats.org/officeDocument/2006/relationships/hyperlink" Target="https://doi.org/10.1080/19467567.2022.1843277" TargetMode="External"/><Relationship Id="rId5" Type="http://schemas.openxmlformats.org/officeDocument/2006/relationships/settings" Target="settings.xml"/><Relationship Id="rId15" Type="http://schemas.openxmlformats.org/officeDocument/2006/relationships/hyperlink" Target="https://doi.org/10.1016/j.resourpol.2015.09.001" TargetMode="External"/><Relationship Id="rId23" Type="http://schemas.openxmlformats.org/officeDocument/2006/relationships/hyperlink" Target="https://doi.org/10.1080/21606544.2021.1973098https://doi.org/10.1093/jae/ejx032" TargetMode="External"/><Relationship Id="rId28" Type="http://schemas.openxmlformats.org/officeDocument/2006/relationships/fontTable" Target="fontTable.xml"/><Relationship Id="rId10" Type="http://schemas.openxmlformats.org/officeDocument/2006/relationships/hyperlink" Target="mailto:agus.supriadi@gmail.com" TargetMode="External"/><Relationship Id="rId19" Type="http://schemas.openxmlformats.org/officeDocument/2006/relationships/hyperlink" Target="https://doi.org/10.1016/j.jde/ejx03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doi.org/10.1093/jeg/lbz015" TargetMode="External"/><Relationship Id="rId27" Type="http://schemas.openxmlformats.org/officeDocument/2006/relationships/hyperlink" Target="https://doi.org/10.1093/jeg/lbz01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goldenratio.id/index.php/grts/index" TargetMode="External"/><Relationship Id="rId2" Type="http://schemas.openxmlformats.org/officeDocument/2006/relationships/hyperlink" Target="https://doi.org/10.52970/10.52970/grts.v3i2.632%20" TargetMode="External"/><Relationship Id="rId1" Type="http://schemas.openxmlformats.org/officeDocument/2006/relationships/image" Target="media/image2.png"/><Relationship Id="rId4" Type="http://schemas.openxmlformats.org/officeDocument/2006/relationships/hyperlink" Target="https://issn.lipi.go.id/terbit/detail/2021042648016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aSIloOV0aFCzhkYyieX8xaBiA==">AMUW2mVPX7zdwPIRao2e7fBbMLal1OgKd+sQlzVVdAuNIdscKSRjtpcGLnGR21uftrk1D3niJYvC7Az2omqYVWc2I76/E8pkYseSbW2Uj4zetj5NczGDNok=</go:docsCustomData>
</go:gDocsCustomXmlDataStorage>
</file>

<file path=customXml/itemProps1.xml><?xml version="1.0" encoding="utf-8"?>
<ds:datastoreItem xmlns:ds="http://schemas.openxmlformats.org/officeDocument/2006/customXml" ds:itemID="{C8526945-71C7-42B8-A44D-94489ACA06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6217</Words>
  <Characters>40790</Characters>
  <Application>Microsoft Office Word</Application>
  <DocSecurity>0</DocSecurity>
  <Lines>566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Aditya Halim Putra</dc:creator>
  <cp:lastModifiedBy>Aditya Halim Putra</cp:lastModifiedBy>
  <cp:revision>2</cp:revision>
  <dcterms:created xsi:type="dcterms:W3CDTF">2024-08-29T16:20:00Z</dcterms:created>
  <dcterms:modified xsi:type="dcterms:W3CDTF">2024-08-29T16:20:00Z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7a4b250c7624c789ea87ff5151dc923cfc9d69c188e72c875e3a78d03b8f9244</vt:lpwstr>
  </property>
</Properties>
</file>