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91536" w14:textId="6AA14285" w:rsidR="006D7633" w:rsidRDefault="00B16009">
      <w:pPr>
        <w:ind w:left="2410"/>
      </w:pPr>
      <w:r>
        <w:rPr>
          <w:noProof/>
        </w:rPr>
        <w:drawing>
          <wp:anchor distT="0" distB="0" distL="114300" distR="114300" simplePos="0" relativeHeight="251658240" behindDoc="0" locked="0" layoutInCell="1" hidden="0" allowOverlap="1" wp14:anchorId="2EC2442F" wp14:editId="1E0D2AF0">
            <wp:simplePos x="0" y="0"/>
            <wp:positionH relativeFrom="column">
              <wp:posOffset>-539087</wp:posOffset>
            </wp:positionH>
            <wp:positionV relativeFrom="paragraph">
              <wp:posOffset>320723</wp:posOffset>
            </wp:positionV>
            <wp:extent cx="1630558" cy="2306450"/>
            <wp:effectExtent l="0" t="0" r="8255" b="0"/>
            <wp:wrapNone/>
            <wp:docPr id="275" name="image2.jpg"/>
            <wp:cNvGraphicFramePr/>
            <a:graphic xmlns:a="http://schemas.openxmlformats.org/drawingml/2006/main">
              <a:graphicData uri="http://schemas.openxmlformats.org/drawingml/2006/picture">
                <pic:pic xmlns:pic="http://schemas.openxmlformats.org/drawingml/2006/picture">
                  <pic:nvPicPr>
                    <pic:cNvPr id="275" name="image2.jp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630558" cy="2306450"/>
                    </a:xfrm>
                    <a:prstGeom prst="rect">
                      <a:avLst/>
                    </a:prstGeom>
                    <a:ln/>
                  </pic:spPr>
                </pic:pic>
              </a:graphicData>
            </a:graphic>
          </wp:anchor>
        </w:drawing>
      </w:r>
      <w:r w:rsidR="00F9183E">
        <w:t xml:space="preserve"> </w:t>
      </w:r>
    </w:p>
    <w:p w14:paraId="798F8245" w14:textId="0532E6A1" w:rsidR="006D7633" w:rsidRPr="00FF2A67" w:rsidRDefault="00B16009">
      <w:pPr>
        <w:ind w:left="2410"/>
        <w:rPr>
          <w:color w:val="7B3F00"/>
        </w:rPr>
      </w:pPr>
      <w:r>
        <w:rPr>
          <w:noProof/>
          <w:color w:val="7B3F00"/>
        </w:rPr>
        <mc:AlternateContent>
          <mc:Choice Requires="wps">
            <w:drawing>
              <wp:anchor distT="0" distB="0" distL="114300" distR="114300" simplePos="0" relativeHeight="251662336" behindDoc="0" locked="0" layoutInCell="1" allowOverlap="1" wp14:anchorId="794F5758" wp14:editId="49B049A1">
                <wp:simplePos x="0" y="0"/>
                <wp:positionH relativeFrom="column">
                  <wp:posOffset>1311965</wp:posOffset>
                </wp:positionH>
                <wp:positionV relativeFrom="paragraph">
                  <wp:posOffset>32301</wp:posOffset>
                </wp:positionV>
                <wp:extent cx="0" cy="4721087"/>
                <wp:effectExtent l="0" t="0" r="38100" b="22860"/>
                <wp:wrapNone/>
                <wp:docPr id="4" name="Straight Connector 4"/>
                <wp:cNvGraphicFramePr/>
                <a:graphic xmlns:a="http://schemas.openxmlformats.org/drawingml/2006/main">
                  <a:graphicData uri="http://schemas.microsoft.com/office/word/2010/wordprocessingShape">
                    <wps:wsp>
                      <wps:cNvCnPr/>
                      <wps:spPr>
                        <a:xfrm>
                          <a:off x="0" y="0"/>
                          <a:ext cx="0" cy="4721087"/>
                        </a:xfrm>
                        <a:prstGeom prst="line">
                          <a:avLst/>
                        </a:prstGeom>
                        <a:noFill/>
                        <a:ln w="15875" cap="flat" cmpd="sng">
                          <a:solidFill>
                            <a:srgbClr val="7B3F00"/>
                          </a:solidFill>
                          <a:prstDash val="solid"/>
                          <a:miter lim="800000"/>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3A7DB474"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3pt,2.55pt" to="103.3pt,3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" strokecolor="#7b3f00" strokeweight="1.25pt">
                <v:stroke startarrowwidth="narrow" startarrowlength="short" endarrowwidth="narrow" endarrowlength="short" joinstyle="miter"/>
              </v:line>
            </w:pict>
          </mc:Fallback>
        </mc:AlternateContent>
      </w:r>
      <w:r w:rsidR="004A511C" w:rsidRPr="00FF2A67">
        <w:rPr>
          <w:color w:val="7B3F00"/>
        </w:rPr>
        <w:t xml:space="preserve">TAXATION STUDIES | RESEARCH ARTICLE </w:t>
      </w:r>
    </w:p>
    <w:p w14:paraId="1185801D" w14:textId="4EDF732B" w:rsidR="00D3538A" w:rsidRDefault="00D1502E">
      <w:pPr>
        <w:ind w:left="2410"/>
        <w:rPr>
          <w:rFonts w:ascii="Corbel" w:eastAsia="Corbel" w:hAnsi="Corbel" w:cs="Corbel"/>
          <w:b/>
          <w:sz w:val="30"/>
          <w:szCs w:val="30"/>
        </w:rPr>
      </w:pPr>
      <w:r w:rsidRPr="00D1502E">
        <w:rPr>
          <w:rFonts w:ascii="Corbel" w:eastAsia="Corbel" w:hAnsi="Corbel" w:cs="Corbel"/>
          <w:b/>
          <w:sz w:val="30"/>
          <w:szCs w:val="30"/>
        </w:rPr>
        <w:t>Tax Study and Financial Performance in the Tourism Industry Post-Pandemic</w:t>
      </w:r>
    </w:p>
    <w:p w14:paraId="5440AC66" w14:textId="77777777" w:rsidR="00775758" w:rsidRDefault="00775758" w:rsidP="00775758">
      <w:pPr>
        <w:ind w:left="2410"/>
        <w:rPr>
          <w:rFonts w:ascii="Corbel" w:eastAsia="Corbel" w:hAnsi="Corbel" w:cs="Corbel"/>
          <w:b/>
          <w:sz w:val="16"/>
          <w:szCs w:val="16"/>
          <w:vertAlign w:val="superscript"/>
        </w:rPr>
      </w:pPr>
      <w:bookmarkStart w:id="0" w:name="_Hlk175871784"/>
      <w:r w:rsidRPr="002F6B29">
        <w:rPr>
          <w:rFonts w:ascii="Corbel" w:eastAsia="Corbel" w:hAnsi="Corbel" w:cs="Corbel"/>
          <w:b/>
          <w:sz w:val="16"/>
          <w:szCs w:val="16"/>
        </w:rPr>
        <w:t>Mohammad Ridwan Rumasukun</w:t>
      </w:r>
      <w:r>
        <w:rPr>
          <w:rFonts w:ascii="Corbel" w:eastAsia="Corbel" w:hAnsi="Corbel" w:cs="Corbel"/>
          <w:b/>
          <w:sz w:val="16"/>
          <w:szCs w:val="16"/>
          <w:vertAlign w:val="superscript"/>
        </w:rPr>
        <w:t>1</w:t>
      </w:r>
      <w:r>
        <w:rPr>
          <w:rFonts w:ascii="Corbel" w:eastAsia="Corbel" w:hAnsi="Corbel" w:cs="Corbel"/>
          <w:b/>
          <w:sz w:val="16"/>
          <w:szCs w:val="16"/>
        </w:rPr>
        <w:t xml:space="preserve">, </w:t>
      </w:r>
      <w:r w:rsidRPr="002F6B29">
        <w:rPr>
          <w:rFonts w:ascii="Corbel" w:eastAsia="Corbel" w:hAnsi="Corbel" w:cs="Corbel"/>
          <w:b/>
          <w:sz w:val="16"/>
          <w:szCs w:val="16"/>
        </w:rPr>
        <w:t>Muhammad Yamin Noch</w:t>
      </w:r>
      <w:bookmarkEnd w:id="0"/>
      <w:r>
        <w:rPr>
          <w:rFonts w:ascii="Corbel" w:eastAsia="Corbel" w:hAnsi="Corbel" w:cs="Corbel"/>
          <w:b/>
          <w:sz w:val="16"/>
          <w:szCs w:val="16"/>
          <w:vertAlign w:val="superscript"/>
        </w:rPr>
        <w:t>2</w:t>
      </w:r>
      <w:r w:rsidRPr="002F6B29">
        <w:rPr>
          <w:rFonts w:ascii="Corbel" w:eastAsia="Corbel" w:hAnsi="Corbel" w:cs="Corbel"/>
          <w:b/>
          <w:sz w:val="16"/>
          <w:szCs w:val="16"/>
        </w:rPr>
        <w:t xml:space="preserve"> </w:t>
      </w:r>
    </w:p>
    <w:p w14:paraId="4A7793D4" w14:textId="5022996C" w:rsidR="00D3538A" w:rsidRDefault="00775758" w:rsidP="00775758">
      <w:pPr>
        <w:spacing w:after="0"/>
        <w:ind w:left="2410"/>
        <w:rPr>
          <w:rFonts w:ascii="Corbel" w:eastAsia="Corbel" w:hAnsi="Corbel" w:cs="Corbel"/>
          <w:sz w:val="16"/>
          <w:szCs w:val="16"/>
          <w:lang w:val="en"/>
        </w:rPr>
      </w:pPr>
      <w:r w:rsidRPr="00D3538A">
        <w:rPr>
          <w:rFonts w:ascii="Corbel" w:eastAsia="Corbel" w:hAnsi="Corbel" w:cs="Corbel"/>
          <w:sz w:val="16"/>
          <w:szCs w:val="16"/>
          <w:vertAlign w:val="superscript"/>
          <w:lang w:val="en"/>
        </w:rPr>
        <w:t>1</w:t>
      </w:r>
      <w:r>
        <w:rPr>
          <w:rFonts w:ascii="Corbel" w:eastAsia="Corbel" w:hAnsi="Corbel" w:cs="Corbel"/>
          <w:sz w:val="16"/>
          <w:szCs w:val="16"/>
          <w:vertAlign w:val="superscript"/>
          <w:lang w:val="en"/>
        </w:rPr>
        <w:t>,2</w:t>
      </w:r>
      <w:r w:rsidRPr="00D3538A">
        <w:rPr>
          <w:rFonts w:ascii="Corbel" w:eastAsia="Corbel" w:hAnsi="Corbel" w:cs="Corbel"/>
          <w:sz w:val="16"/>
          <w:szCs w:val="16"/>
          <w:lang w:val="en"/>
        </w:rPr>
        <w:t xml:space="preserve"> </w:t>
      </w:r>
      <w:r w:rsidRPr="00EA3B3F">
        <w:rPr>
          <w:rFonts w:ascii="Corbel" w:eastAsia="Corbel" w:hAnsi="Corbel" w:cs="Corbel"/>
          <w:sz w:val="16"/>
          <w:szCs w:val="16"/>
          <w:lang w:val="en"/>
        </w:rPr>
        <w:t xml:space="preserve">Department of </w:t>
      </w:r>
      <w:r>
        <w:rPr>
          <w:rFonts w:ascii="Corbel" w:eastAsia="Corbel" w:hAnsi="Corbel" w:cs="Corbel"/>
          <w:sz w:val="16"/>
          <w:szCs w:val="16"/>
          <w:lang w:val="en"/>
        </w:rPr>
        <w:t>Accounting</w:t>
      </w:r>
      <w:r w:rsidRPr="00EA3B3F">
        <w:rPr>
          <w:rFonts w:ascii="Corbel" w:eastAsia="Corbel" w:hAnsi="Corbel" w:cs="Corbel"/>
          <w:sz w:val="16"/>
          <w:szCs w:val="16"/>
          <w:lang w:val="en"/>
        </w:rPr>
        <w:t xml:space="preserve">, Faculty of Economics and Business, Universitas </w:t>
      </w:r>
      <w:r>
        <w:rPr>
          <w:rFonts w:ascii="Corbel" w:eastAsia="Corbel" w:hAnsi="Corbel" w:cs="Corbel"/>
          <w:sz w:val="16"/>
          <w:szCs w:val="16"/>
          <w:lang w:val="en"/>
        </w:rPr>
        <w:t>Yapis Papua</w:t>
      </w:r>
      <w:r w:rsidRPr="00EA3B3F">
        <w:rPr>
          <w:rFonts w:ascii="Corbel" w:eastAsia="Corbel" w:hAnsi="Corbel" w:cs="Corbel"/>
          <w:sz w:val="16"/>
          <w:szCs w:val="16"/>
          <w:lang w:val="en"/>
        </w:rPr>
        <w:t>, Indonesia. Email:</w:t>
      </w:r>
      <w:r>
        <w:rPr>
          <w:rFonts w:ascii="Corbel" w:eastAsia="Corbel" w:hAnsi="Corbel" w:cs="Corbel"/>
          <w:sz w:val="16"/>
          <w:szCs w:val="16"/>
          <w:lang w:val="en"/>
        </w:rPr>
        <w:t xml:space="preserve"> </w:t>
      </w:r>
      <w:hyperlink r:id="rId10" w:history="1">
        <w:r w:rsidRPr="00DA4F78">
          <w:rPr>
            <w:rStyle w:val="Hyperlink"/>
            <w:rFonts w:ascii="Corbel" w:eastAsia="Corbel" w:hAnsi="Corbel" w:cs="Corbel"/>
            <w:sz w:val="16"/>
            <w:szCs w:val="16"/>
            <w:lang w:val="en"/>
          </w:rPr>
          <w:t>iwanrr2018@gmail.com</w:t>
        </w:r>
      </w:hyperlink>
      <w:r>
        <w:rPr>
          <w:rFonts w:ascii="Corbel" w:eastAsia="Corbel" w:hAnsi="Corbel" w:cs="Corbel"/>
          <w:sz w:val="16"/>
          <w:szCs w:val="16"/>
          <w:lang w:val="en"/>
        </w:rPr>
        <w:t xml:space="preserve">, </w:t>
      </w:r>
      <w:hyperlink r:id="rId11" w:history="1">
        <w:r w:rsidRPr="00DA4F78">
          <w:rPr>
            <w:rStyle w:val="Hyperlink"/>
            <w:rFonts w:ascii="Corbel" w:eastAsia="Corbel" w:hAnsi="Corbel" w:cs="Corbel"/>
            <w:sz w:val="16"/>
            <w:szCs w:val="16"/>
            <w:lang w:val="en"/>
          </w:rPr>
          <w:t>abienoch12@gmail.com</w:t>
        </w:r>
      </w:hyperlink>
      <w:r w:rsidR="00F9183E">
        <w:rPr>
          <w:rFonts w:ascii="Corbel" w:eastAsia="Corbel" w:hAnsi="Corbel" w:cs="Corbel"/>
          <w:sz w:val="16"/>
          <w:szCs w:val="16"/>
          <w:lang w:val="en"/>
        </w:rPr>
        <w:t xml:space="preserve"> </w:t>
      </w:r>
      <w:r w:rsidR="00D3538A">
        <w:rPr>
          <w:rFonts w:ascii="Corbel" w:eastAsia="Corbel" w:hAnsi="Corbel" w:cs="Corbel"/>
          <w:sz w:val="16"/>
          <w:szCs w:val="16"/>
          <w:lang w:val="en"/>
        </w:rPr>
        <w:t xml:space="preserve"> </w:t>
      </w:r>
    </w:p>
    <w:p w14:paraId="686F0F4B" w14:textId="77777777" w:rsidR="00D3538A" w:rsidRPr="00D3538A" w:rsidRDefault="00D3538A" w:rsidP="00D3538A">
      <w:pPr>
        <w:spacing w:after="0"/>
        <w:ind w:left="2410"/>
        <w:rPr>
          <w:rFonts w:ascii="Corbel" w:eastAsia="Corbel" w:hAnsi="Corbel" w:cs="Corbel"/>
          <w:sz w:val="16"/>
          <w:szCs w:val="16"/>
          <w:lang w:val="en"/>
        </w:rPr>
      </w:pPr>
    </w:p>
    <w:p w14:paraId="07AAA3F0" w14:textId="6720C5F6" w:rsidR="006D7633" w:rsidRDefault="00FF2A67">
      <w:pPr>
        <w:ind w:left="2410"/>
        <w:jc w:val="both"/>
        <w:rPr>
          <w:rFonts w:ascii="EB Garamond" w:eastAsia="EB Garamond" w:hAnsi="EB Garamond" w:cs="EB Garamond"/>
          <w:color w:val="FF0000"/>
          <w:sz w:val="16"/>
          <w:szCs w:val="16"/>
        </w:rPr>
      </w:pPr>
      <w:r>
        <w:rPr>
          <w:noProof/>
        </w:rPr>
        <mc:AlternateContent>
          <mc:Choice Requires="wps">
            <w:drawing>
              <wp:anchor distT="0" distB="0" distL="114300" distR="114300" simplePos="0" relativeHeight="251660288" behindDoc="0" locked="0" layoutInCell="1" hidden="0" allowOverlap="1" wp14:anchorId="4725F75C" wp14:editId="5CD0EEA5">
                <wp:simplePos x="0" y="0"/>
                <wp:positionH relativeFrom="column">
                  <wp:posOffset>-606649</wp:posOffset>
                </wp:positionH>
                <wp:positionV relativeFrom="paragraph">
                  <wp:posOffset>827258</wp:posOffset>
                </wp:positionV>
                <wp:extent cx="1765300" cy="1807845"/>
                <wp:effectExtent l="0" t="0" r="6350" b="1905"/>
                <wp:wrapNone/>
                <wp:docPr id="270" name="Rectangle 270"/>
                <wp:cNvGraphicFramePr/>
                <a:graphic xmlns:a="http://schemas.openxmlformats.org/drawingml/2006/main">
                  <a:graphicData uri="http://schemas.microsoft.com/office/word/2010/wordprocessingShape">
                    <wps:wsp>
                      <wps:cNvSpPr/>
                      <wps:spPr>
                        <a:xfrm>
                          <a:off x="0" y="0"/>
                          <a:ext cx="1765300" cy="1807845"/>
                        </a:xfrm>
                        <a:prstGeom prst="rect">
                          <a:avLst/>
                        </a:prstGeom>
                        <a:solidFill>
                          <a:schemeClr val="lt1"/>
                        </a:solidFill>
                        <a:ln>
                          <a:noFill/>
                        </a:ln>
                      </wps:spPr>
                      <wps:txbx>
                        <w:txbxContent>
                          <w:p w14:paraId="31F7144B" w14:textId="1724C005" w:rsidR="00B16009" w:rsidRDefault="00B16009" w:rsidP="00B16009">
                            <w:pPr>
                              <w:spacing w:after="0" w:line="258" w:lineRule="auto"/>
                              <w:textDirection w:val="btLr"/>
                            </w:pPr>
                            <w:r w:rsidRPr="00FF2A67">
                              <w:rPr>
                                <w:color w:val="7B3F00"/>
                                <w:sz w:val="16"/>
                              </w:rPr>
                              <w:t>Received:</w:t>
                            </w:r>
                            <w:r>
                              <w:rPr>
                                <w:color w:val="000000"/>
                                <w:sz w:val="16"/>
                              </w:rPr>
                              <w:t xml:space="preserve"> </w:t>
                            </w:r>
                            <w:r w:rsidR="00775758">
                              <w:rPr>
                                <w:color w:val="000000"/>
                                <w:sz w:val="16"/>
                              </w:rPr>
                              <w:t>11</w:t>
                            </w:r>
                            <w:r>
                              <w:rPr>
                                <w:color w:val="000000"/>
                                <w:sz w:val="16"/>
                              </w:rPr>
                              <w:t xml:space="preserve"> </w:t>
                            </w:r>
                            <w:r w:rsidR="00775758">
                              <w:rPr>
                                <w:color w:val="000000"/>
                                <w:sz w:val="16"/>
                              </w:rPr>
                              <w:t>January</w:t>
                            </w:r>
                            <w:r>
                              <w:rPr>
                                <w:color w:val="000000"/>
                                <w:sz w:val="16"/>
                              </w:rPr>
                              <w:t xml:space="preserve"> 202</w:t>
                            </w:r>
                            <w:r w:rsidR="00775758">
                              <w:rPr>
                                <w:color w:val="000000"/>
                                <w:sz w:val="16"/>
                              </w:rPr>
                              <w:t>4</w:t>
                            </w:r>
                          </w:p>
                          <w:p w14:paraId="6ED261E7" w14:textId="318C271D" w:rsidR="00B16009" w:rsidRDefault="00B16009" w:rsidP="00B16009">
                            <w:pPr>
                              <w:spacing w:after="0" w:line="258" w:lineRule="auto"/>
                              <w:textDirection w:val="btLr"/>
                            </w:pPr>
                            <w:r w:rsidRPr="00FF2A67">
                              <w:rPr>
                                <w:color w:val="7B3F00"/>
                                <w:sz w:val="16"/>
                              </w:rPr>
                              <w:t>Revised:</w:t>
                            </w:r>
                            <w:r>
                              <w:rPr>
                                <w:color w:val="000000"/>
                                <w:sz w:val="16"/>
                              </w:rPr>
                              <w:t xml:space="preserve"> </w:t>
                            </w:r>
                            <w:r w:rsidR="00775758">
                              <w:rPr>
                                <w:color w:val="000000"/>
                                <w:sz w:val="16"/>
                              </w:rPr>
                              <w:t>05</w:t>
                            </w:r>
                            <w:r>
                              <w:rPr>
                                <w:color w:val="000000"/>
                                <w:sz w:val="16"/>
                              </w:rPr>
                              <w:t xml:space="preserve"> February 202</w:t>
                            </w:r>
                            <w:r w:rsidR="00775758">
                              <w:rPr>
                                <w:color w:val="000000"/>
                                <w:sz w:val="16"/>
                              </w:rPr>
                              <w:t>4</w:t>
                            </w:r>
                          </w:p>
                          <w:p w14:paraId="1802C0E6" w14:textId="662AEDD5" w:rsidR="00B16009" w:rsidRDefault="00B16009" w:rsidP="00B16009">
                            <w:pPr>
                              <w:spacing w:after="0" w:line="258" w:lineRule="auto"/>
                              <w:textDirection w:val="btLr"/>
                            </w:pPr>
                            <w:r w:rsidRPr="00FF2A67">
                              <w:rPr>
                                <w:color w:val="7B3F00"/>
                                <w:sz w:val="16"/>
                              </w:rPr>
                              <w:t>Accepted:</w:t>
                            </w:r>
                            <w:r>
                              <w:rPr>
                                <w:color w:val="000000"/>
                                <w:sz w:val="16"/>
                              </w:rPr>
                              <w:t xml:space="preserve"> 30 </w:t>
                            </w:r>
                            <w:r w:rsidR="00775758">
                              <w:rPr>
                                <w:color w:val="000000"/>
                                <w:sz w:val="16"/>
                              </w:rPr>
                              <w:t>May</w:t>
                            </w:r>
                            <w:r>
                              <w:rPr>
                                <w:color w:val="000000"/>
                                <w:sz w:val="16"/>
                              </w:rPr>
                              <w:t xml:space="preserve"> 202</w:t>
                            </w:r>
                            <w:r w:rsidR="00775758">
                              <w:rPr>
                                <w:color w:val="000000"/>
                                <w:sz w:val="16"/>
                              </w:rPr>
                              <w:t>4</w:t>
                            </w:r>
                          </w:p>
                          <w:p w14:paraId="5A48BCA2" w14:textId="77777777" w:rsidR="006D7633" w:rsidRDefault="006D7633" w:rsidP="00FF2A67">
                            <w:pPr>
                              <w:spacing w:after="0" w:line="258" w:lineRule="auto"/>
                              <w:ind w:left="425" w:firstLine="425"/>
                              <w:textDirection w:val="btLr"/>
                            </w:pPr>
                          </w:p>
                          <w:p w14:paraId="10016335" w14:textId="77777777" w:rsidR="00775758" w:rsidRDefault="00775758" w:rsidP="00775758">
                            <w:pPr>
                              <w:spacing w:after="0" w:line="258" w:lineRule="auto"/>
                              <w:textDirection w:val="btLr"/>
                            </w:pPr>
                            <w:r>
                              <w:rPr>
                                <w:color w:val="000000"/>
                                <w:sz w:val="16"/>
                              </w:rPr>
                              <w:t>*</w:t>
                            </w:r>
                            <w:r w:rsidRPr="00FF2A67">
                              <w:rPr>
                                <w:color w:val="7B3F00"/>
                                <w:sz w:val="16"/>
                              </w:rPr>
                              <w:t xml:space="preserve">Corresponding author: </w:t>
                            </w:r>
                            <w:r w:rsidRPr="00930C40">
                              <w:rPr>
                                <w:color w:val="000000"/>
                                <w:sz w:val="16"/>
                              </w:rPr>
                              <w:t>Mohammad Ridwan Rumasukun</w:t>
                            </w:r>
                            <w:r>
                              <w:rPr>
                                <w:color w:val="000000"/>
                                <w:sz w:val="16"/>
                              </w:rPr>
                              <w:t xml:space="preserve">, </w:t>
                            </w:r>
                            <w:r w:rsidRPr="00930C40">
                              <w:rPr>
                                <w:color w:val="000000"/>
                                <w:sz w:val="16"/>
                              </w:rPr>
                              <w:t>Department of Accounting, Faculty of Economics and Business, Universitas Yapis Papua, Indonesia</w:t>
                            </w:r>
                            <w:r w:rsidRPr="00A93449">
                              <w:rPr>
                                <w:color w:val="000000"/>
                                <w:sz w:val="16"/>
                              </w:rPr>
                              <w:t xml:space="preserve">. </w:t>
                            </w:r>
                            <w:r>
                              <w:rPr>
                                <w:color w:val="000000"/>
                                <w:sz w:val="16"/>
                              </w:rPr>
                              <w:t xml:space="preserve"> </w:t>
                            </w:r>
                            <w:r w:rsidRPr="00A93449">
                              <w:rPr>
                                <w:color w:val="000000"/>
                                <w:sz w:val="16"/>
                              </w:rPr>
                              <w:t xml:space="preserve"> </w:t>
                            </w:r>
                          </w:p>
                          <w:p w14:paraId="204793CA" w14:textId="77777777" w:rsidR="00775758" w:rsidRDefault="00775758" w:rsidP="00775758">
                            <w:pPr>
                              <w:spacing w:after="0" w:line="258" w:lineRule="auto"/>
                              <w:ind w:left="425" w:firstLine="425"/>
                              <w:textDirection w:val="btLr"/>
                            </w:pPr>
                          </w:p>
                          <w:p w14:paraId="74FD7450" w14:textId="77777777" w:rsidR="00775758" w:rsidRDefault="00775758" w:rsidP="00775758">
                            <w:pPr>
                              <w:spacing w:after="0" w:line="258" w:lineRule="auto"/>
                              <w:textDirection w:val="btLr"/>
                            </w:pPr>
                            <w:r w:rsidRPr="00FF2A67">
                              <w:rPr>
                                <w:color w:val="7B3F00"/>
                                <w:sz w:val="16"/>
                              </w:rPr>
                              <w:t xml:space="preserve">E-mail: </w:t>
                            </w:r>
                            <w:r w:rsidRPr="00930C40">
                              <w:rPr>
                                <w:rStyle w:val="Hyperlink"/>
                                <w:sz w:val="16"/>
                              </w:rPr>
                              <w:t>iwanrr2018@gmail.com</w:t>
                            </w:r>
                          </w:p>
                          <w:p w14:paraId="604C1973" w14:textId="53D791CE" w:rsidR="00F9183E" w:rsidRDefault="00F9183E" w:rsidP="00F9183E">
                            <w:pPr>
                              <w:spacing w:after="0" w:line="258" w:lineRule="auto"/>
                              <w:textDirection w:val="btLr"/>
                            </w:pPr>
                            <w:r>
                              <w:rPr>
                                <w:color w:val="000000"/>
                                <w:sz w:val="16"/>
                              </w:rPr>
                              <w:t xml:space="preserve">   </w:t>
                            </w:r>
                          </w:p>
                          <w:p w14:paraId="4666AD9F" w14:textId="0CF07545" w:rsidR="006D7633" w:rsidRDefault="00F9183E" w:rsidP="00F9183E">
                            <w:pPr>
                              <w:spacing w:after="0" w:line="258" w:lineRule="auto"/>
                              <w:textDirection w:val="btLr"/>
                            </w:pPr>
                            <w:r>
                              <w:t xml:space="preserve"> </w:t>
                            </w:r>
                          </w:p>
                          <w:p w14:paraId="6C1F778A" w14:textId="77777777" w:rsidR="006D7633" w:rsidRDefault="006D7633" w:rsidP="00FF2A67">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725F75C" id="Rectangle 270" o:spid="_x0000_s1026" style="position:absolute;left:0;text-align:left;margin-left:-47.75pt;margin-top:65.15pt;width:139pt;height:14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" fillcolor="white [3201]" stroked="f">
                <v:textbox inset="2.53958mm,1.2694mm,2.53958mm,1.2694mm">
                  <w:txbxContent>
                    <w:p w14:paraId="31F7144B" w14:textId="1724C005" w:rsidR="00B16009" w:rsidRDefault="00B16009" w:rsidP="00B16009">
                      <w:pPr>
                        <w:spacing w:after="0" w:line="258" w:lineRule="auto"/>
                        <w:textDirection w:val="btLr"/>
                      </w:pPr>
                      <w:r w:rsidRPr="00FF2A67">
                        <w:rPr>
                          <w:color w:val="7B3F00"/>
                          <w:sz w:val="16"/>
                        </w:rPr>
                        <w:t>Received:</w:t>
                      </w:r>
                      <w:r>
                        <w:rPr>
                          <w:color w:val="000000"/>
                          <w:sz w:val="16"/>
                        </w:rPr>
                        <w:t xml:space="preserve"> </w:t>
                      </w:r>
                      <w:r w:rsidR="00775758">
                        <w:rPr>
                          <w:color w:val="000000"/>
                          <w:sz w:val="16"/>
                        </w:rPr>
                        <w:t>11</w:t>
                      </w:r>
                      <w:r>
                        <w:rPr>
                          <w:color w:val="000000"/>
                          <w:sz w:val="16"/>
                        </w:rPr>
                        <w:t xml:space="preserve"> </w:t>
                      </w:r>
                      <w:r w:rsidR="00775758">
                        <w:rPr>
                          <w:color w:val="000000"/>
                          <w:sz w:val="16"/>
                        </w:rPr>
                        <w:t>January</w:t>
                      </w:r>
                      <w:r>
                        <w:rPr>
                          <w:color w:val="000000"/>
                          <w:sz w:val="16"/>
                        </w:rPr>
                        <w:t xml:space="preserve"> 202</w:t>
                      </w:r>
                      <w:r w:rsidR="00775758">
                        <w:rPr>
                          <w:color w:val="000000"/>
                          <w:sz w:val="16"/>
                        </w:rPr>
                        <w:t>4</w:t>
                      </w:r>
                    </w:p>
                    <w:p w14:paraId="6ED261E7" w14:textId="318C271D" w:rsidR="00B16009" w:rsidRDefault="00B16009" w:rsidP="00B16009">
                      <w:pPr>
                        <w:spacing w:after="0" w:line="258" w:lineRule="auto"/>
                        <w:textDirection w:val="btLr"/>
                      </w:pPr>
                      <w:r w:rsidRPr="00FF2A67">
                        <w:rPr>
                          <w:color w:val="7B3F00"/>
                          <w:sz w:val="16"/>
                        </w:rPr>
                        <w:t>Revised:</w:t>
                      </w:r>
                      <w:r>
                        <w:rPr>
                          <w:color w:val="000000"/>
                          <w:sz w:val="16"/>
                        </w:rPr>
                        <w:t xml:space="preserve"> </w:t>
                      </w:r>
                      <w:r w:rsidR="00775758">
                        <w:rPr>
                          <w:color w:val="000000"/>
                          <w:sz w:val="16"/>
                        </w:rPr>
                        <w:t>05</w:t>
                      </w:r>
                      <w:r>
                        <w:rPr>
                          <w:color w:val="000000"/>
                          <w:sz w:val="16"/>
                        </w:rPr>
                        <w:t xml:space="preserve"> February 202</w:t>
                      </w:r>
                      <w:r w:rsidR="00775758">
                        <w:rPr>
                          <w:color w:val="000000"/>
                          <w:sz w:val="16"/>
                        </w:rPr>
                        <w:t>4</w:t>
                      </w:r>
                    </w:p>
                    <w:p w14:paraId="1802C0E6" w14:textId="662AEDD5" w:rsidR="00B16009" w:rsidRDefault="00B16009" w:rsidP="00B16009">
                      <w:pPr>
                        <w:spacing w:after="0" w:line="258" w:lineRule="auto"/>
                        <w:textDirection w:val="btLr"/>
                      </w:pPr>
                      <w:r w:rsidRPr="00FF2A67">
                        <w:rPr>
                          <w:color w:val="7B3F00"/>
                          <w:sz w:val="16"/>
                        </w:rPr>
                        <w:t>Accepted:</w:t>
                      </w:r>
                      <w:r>
                        <w:rPr>
                          <w:color w:val="000000"/>
                          <w:sz w:val="16"/>
                        </w:rPr>
                        <w:t xml:space="preserve"> 30 </w:t>
                      </w:r>
                      <w:r w:rsidR="00775758">
                        <w:rPr>
                          <w:color w:val="000000"/>
                          <w:sz w:val="16"/>
                        </w:rPr>
                        <w:t>May</w:t>
                      </w:r>
                      <w:r>
                        <w:rPr>
                          <w:color w:val="000000"/>
                          <w:sz w:val="16"/>
                        </w:rPr>
                        <w:t xml:space="preserve"> 202</w:t>
                      </w:r>
                      <w:r w:rsidR="00775758">
                        <w:rPr>
                          <w:color w:val="000000"/>
                          <w:sz w:val="16"/>
                        </w:rPr>
                        <w:t>4</w:t>
                      </w:r>
                    </w:p>
                    <w:p w14:paraId="5A48BCA2" w14:textId="77777777" w:rsidR="006D7633" w:rsidRDefault="006D7633" w:rsidP="00FF2A67">
                      <w:pPr>
                        <w:spacing w:after="0" w:line="258" w:lineRule="auto"/>
                        <w:ind w:left="425" w:firstLine="425"/>
                        <w:textDirection w:val="btLr"/>
                      </w:pPr>
                    </w:p>
                    <w:p w14:paraId="10016335" w14:textId="77777777" w:rsidR="00775758" w:rsidRDefault="00775758" w:rsidP="00775758">
                      <w:pPr>
                        <w:spacing w:after="0" w:line="258" w:lineRule="auto"/>
                        <w:textDirection w:val="btLr"/>
                      </w:pPr>
                      <w:r>
                        <w:rPr>
                          <w:color w:val="000000"/>
                          <w:sz w:val="16"/>
                        </w:rPr>
                        <w:t>*</w:t>
                      </w:r>
                      <w:r w:rsidRPr="00FF2A67">
                        <w:rPr>
                          <w:color w:val="7B3F00"/>
                          <w:sz w:val="16"/>
                        </w:rPr>
                        <w:t xml:space="preserve">Corresponding author: </w:t>
                      </w:r>
                      <w:r w:rsidRPr="00930C40">
                        <w:rPr>
                          <w:color w:val="000000"/>
                          <w:sz w:val="16"/>
                        </w:rPr>
                        <w:t>Mohammad Ridwan Rumasukun</w:t>
                      </w:r>
                      <w:r>
                        <w:rPr>
                          <w:color w:val="000000"/>
                          <w:sz w:val="16"/>
                        </w:rPr>
                        <w:t xml:space="preserve">, </w:t>
                      </w:r>
                      <w:r w:rsidRPr="00930C40">
                        <w:rPr>
                          <w:color w:val="000000"/>
                          <w:sz w:val="16"/>
                        </w:rPr>
                        <w:t>Department of Accounting, Faculty of Economics and Business, Universitas Yapis Papua, Indonesia</w:t>
                      </w:r>
                      <w:r w:rsidRPr="00A93449">
                        <w:rPr>
                          <w:color w:val="000000"/>
                          <w:sz w:val="16"/>
                        </w:rPr>
                        <w:t xml:space="preserve">. </w:t>
                      </w:r>
                      <w:r>
                        <w:rPr>
                          <w:color w:val="000000"/>
                          <w:sz w:val="16"/>
                        </w:rPr>
                        <w:t xml:space="preserve"> </w:t>
                      </w:r>
                      <w:r w:rsidRPr="00A93449">
                        <w:rPr>
                          <w:color w:val="000000"/>
                          <w:sz w:val="16"/>
                        </w:rPr>
                        <w:t xml:space="preserve"> </w:t>
                      </w:r>
                    </w:p>
                    <w:p w14:paraId="204793CA" w14:textId="77777777" w:rsidR="00775758" w:rsidRDefault="00775758" w:rsidP="00775758">
                      <w:pPr>
                        <w:spacing w:after="0" w:line="258" w:lineRule="auto"/>
                        <w:ind w:left="425" w:firstLine="425"/>
                        <w:textDirection w:val="btLr"/>
                      </w:pPr>
                    </w:p>
                    <w:p w14:paraId="74FD7450" w14:textId="77777777" w:rsidR="00775758" w:rsidRDefault="00775758" w:rsidP="00775758">
                      <w:pPr>
                        <w:spacing w:after="0" w:line="258" w:lineRule="auto"/>
                        <w:textDirection w:val="btLr"/>
                      </w:pPr>
                      <w:r w:rsidRPr="00FF2A67">
                        <w:rPr>
                          <w:color w:val="7B3F00"/>
                          <w:sz w:val="16"/>
                        </w:rPr>
                        <w:t xml:space="preserve">E-mail: </w:t>
                      </w:r>
                      <w:r w:rsidRPr="00930C40">
                        <w:rPr>
                          <w:rStyle w:val="Hyperlink"/>
                          <w:sz w:val="16"/>
                        </w:rPr>
                        <w:t>iwanrr2018@gmail.com</w:t>
                      </w:r>
                    </w:p>
                    <w:p w14:paraId="604C1973" w14:textId="53D791CE" w:rsidR="00F9183E" w:rsidRDefault="00F9183E" w:rsidP="00F9183E">
                      <w:pPr>
                        <w:spacing w:after="0" w:line="258" w:lineRule="auto"/>
                        <w:textDirection w:val="btLr"/>
                      </w:pPr>
                      <w:r>
                        <w:rPr>
                          <w:color w:val="000000"/>
                          <w:sz w:val="16"/>
                        </w:rPr>
                        <w:t xml:space="preserve">   </w:t>
                      </w:r>
                    </w:p>
                    <w:p w14:paraId="4666AD9F" w14:textId="0CF07545" w:rsidR="006D7633" w:rsidRDefault="00F9183E" w:rsidP="00F9183E">
                      <w:pPr>
                        <w:spacing w:after="0" w:line="258" w:lineRule="auto"/>
                        <w:textDirection w:val="btLr"/>
                      </w:pPr>
                      <w:r>
                        <w:t xml:space="preserve"> </w:t>
                      </w:r>
                    </w:p>
                    <w:p w14:paraId="6C1F778A" w14:textId="77777777" w:rsidR="006D7633" w:rsidRDefault="006D7633" w:rsidP="00FF2A67">
                      <w:pPr>
                        <w:spacing w:after="0" w:line="258" w:lineRule="auto"/>
                        <w:ind w:left="567" w:firstLine="567"/>
                        <w:textDirection w:val="btLr"/>
                      </w:pPr>
                    </w:p>
                  </w:txbxContent>
                </v:textbox>
              </v:rect>
            </w:pict>
          </mc:Fallback>
        </mc:AlternateContent>
      </w:r>
      <w:r>
        <w:rPr>
          <w:rFonts w:ascii="Corbel" w:eastAsia="Corbel" w:hAnsi="Corbel" w:cs="Corbel"/>
          <w:b/>
          <w:color w:val="7B3F00"/>
          <w:sz w:val="20"/>
          <w:szCs w:val="20"/>
        </w:rPr>
        <w:t>Abstract:</w:t>
      </w:r>
      <w:r>
        <w:rPr>
          <w:rFonts w:ascii="Corbel" w:eastAsia="Corbel" w:hAnsi="Corbel" w:cs="Corbel"/>
          <w:b/>
          <w:color w:val="FF0000"/>
          <w:sz w:val="20"/>
          <w:szCs w:val="20"/>
        </w:rPr>
        <w:t xml:space="preserve"> </w:t>
      </w:r>
      <w:r w:rsidR="00D1502E" w:rsidRPr="00D1502E">
        <w:rPr>
          <w:rFonts w:ascii="EB Garamond" w:eastAsia="EB Garamond" w:hAnsi="EB Garamond" w:cs="EB Garamond"/>
          <w:color w:val="000000"/>
          <w:sz w:val="18"/>
          <w:szCs w:val="18"/>
        </w:rPr>
        <w:t>This study conducts a comprehensive literature review to investigate the intersection of taxation policies and financial performance in the tourism industry, particularly in the post-pandemic context. The research aims to examine the impact of the COVID-19 pandemic on tourism financial performance, assess the role of taxation policies in supporting tourism recovery, and identify implications for theory and practice. A systematic review methodology is employed, involving the identification, evaluation, and synthesis of relevant literature from academic databases and scholarly sources. The analysis reveals significant adverse impacts of the pandemic on tourism revenues, profitability, and employment, exacerbating existing vulnerabilities within the sector. Taxation policies emerge as critical instruments for mitigating economic downturns, fostering resilience, and promoting sustainable development in tourism-dependent communities. Key findings underscore the need for flexible and adaptive taxation policies that align with evolving industry dynamics and prioritize social equity, environmental sustainability, and destination competitiveness. Implications for policymakers, industry stakeholders, and destination managers are discussed, emphasizing the importance of collaborative governance, innovation, and stakeholder engagement in shaping a more resilient and inclusive tourism future. The study contributes to theoretical understanding and practical decision-making in the field, offering insights into the multifaceted relationship between taxation policies, financial performance, and destination development in the post-pandemic era.</w:t>
      </w:r>
    </w:p>
    <w:p w14:paraId="385FF30C" w14:textId="0B057045" w:rsidR="006D7633" w:rsidRDefault="004A511C" w:rsidP="00FF2A67">
      <w:pPr>
        <w:spacing w:after="0" w:line="240" w:lineRule="auto"/>
        <w:ind w:left="2410"/>
        <w:jc w:val="both"/>
        <w:rPr>
          <w:rFonts w:ascii="Corbel" w:eastAsia="Corbel" w:hAnsi="Corbel" w:cs="Corbel"/>
          <w:color w:val="FF0000"/>
          <w:sz w:val="16"/>
          <w:szCs w:val="16"/>
        </w:rPr>
      </w:pPr>
      <w:r w:rsidRPr="003424FC">
        <w:rPr>
          <w:rFonts w:ascii="Corbel" w:eastAsia="Corbel" w:hAnsi="Corbel" w:cs="Corbel"/>
          <w:b/>
          <w:color w:val="7B3F00"/>
          <w:sz w:val="16"/>
          <w:szCs w:val="16"/>
        </w:rPr>
        <w:t>Keywords</w:t>
      </w:r>
      <w:r w:rsidRPr="003424FC">
        <w:rPr>
          <w:rFonts w:ascii="Corbel" w:eastAsia="Corbel" w:hAnsi="Corbel" w:cs="Corbel"/>
          <w:color w:val="7B3F00"/>
          <w:sz w:val="16"/>
          <w:szCs w:val="16"/>
        </w:rPr>
        <w:t>:</w:t>
      </w:r>
      <w:r>
        <w:rPr>
          <w:rFonts w:ascii="Corbel" w:eastAsia="Corbel" w:hAnsi="Corbel" w:cs="Corbel"/>
          <w:sz w:val="16"/>
          <w:szCs w:val="16"/>
        </w:rPr>
        <w:t xml:space="preserve"> </w:t>
      </w:r>
      <w:r w:rsidR="00D1502E" w:rsidRPr="00D1502E">
        <w:rPr>
          <w:rFonts w:ascii="Corbel" w:eastAsia="Corbel" w:hAnsi="Corbel" w:cs="Corbel"/>
          <w:sz w:val="16"/>
          <w:szCs w:val="16"/>
        </w:rPr>
        <w:t>Tourism, Taxation Policies, Financial Performance, COVID-19 Pandemic, Sustainable Development.</w:t>
      </w:r>
    </w:p>
    <w:p w14:paraId="53FBEA6D" w14:textId="77777777" w:rsidR="006D7633" w:rsidRDefault="006D7633">
      <w:pPr>
        <w:spacing w:after="0" w:line="240" w:lineRule="auto"/>
        <w:ind w:left="2410"/>
        <w:jc w:val="both"/>
        <w:rPr>
          <w:rFonts w:ascii="Corbel" w:eastAsia="Corbel" w:hAnsi="Corbel" w:cs="Corbel"/>
          <w:sz w:val="16"/>
          <w:szCs w:val="16"/>
        </w:rPr>
      </w:pPr>
    </w:p>
    <w:p w14:paraId="025D33FD" w14:textId="77777777" w:rsidR="006D7633" w:rsidRDefault="006D7633">
      <w:pPr>
        <w:spacing w:after="0" w:line="240" w:lineRule="auto"/>
        <w:ind w:left="2410"/>
        <w:jc w:val="both"/>
        <w:rPr>
          <w:rFonts w:ascii="Corbel" w:eastAsia="Corbel" w:hAnsi="Corbel" w:cs="Corbel"/>
          <w:sz w:val="16"/>
          <w:szCs w:val="16"/>
        </w:rPr>
      </w:pPr>
    </w:p>
    <w:p w14:paraId="4CA022F6" w14:textId="77777777" w:rsidR="00D3538A" w:rsidRDefault="00D3538A">
      <w:pPr>
        <w:spacing w:after="0" w:line="240" w:lineRule="auto"/>
        <w:ind w:left="2410"/>
        <w:jc w:val="both"/>
        <w:rPr>
          <w:rFonts w:ascii="Corbel" w:eastAsia="Corbel" w:hAnsi="Corbel" w:cs="Corbel"/>
          <w:sz w:val="16"/>
          <w:szCs w:val="16"/>
        </w:rPr>
      </w:pPr>
    </w:p>
    <w:p w14:paraId="366A1E19" w14:textId="77777777" w:rsidR="00D3538A" w:rsidRDefault="00D3538A">
      <w:pPr>
        <w:spacing w:after="0" w:line="240" w:lineRule="auto"/>
        <w:ind w:left="2410"/>
        <w:jc w:val="both"/>
        <w:rPr>
          <w:rFonts w:ascii="Corbel" w:eastAsia="Corbel" w:hAnsi="Corbel" w:cs="Corbel"/>
          <w:sz w:val="16"/>
          <w:szCs w:val="16"/>
        </w:rPr>
      </w:pPr>
    </w:p>
    <w:p w14:paraId="201170B0" w14:textId="77777777" w:rsidR="006D7633" w:rsidRDefault="006D7633">
      <w:pPr>
        <w:spacing w:after="0" w:line="240" w:lineRule="auto"/>
        <w:ind w:left="2410"/>
        <w:jc w:val="both"/>
        <w:rPr>
          <w:rFonts w:ascii="Corbel" w:eastAsia="Corbel" w:hAnsi="Corbel" w:cs="Corbel"/>
          <w:sz w:val="16"/>
          <w:szCs w:val="16"/>
        </w:rPr>
      </w:pPr>
    </w:p>
    <w:p w14:paraId="581CCDFA" w14:textId="77777777" w:rsidR="006D7633" w:rsidRDefault="004A511C">
      <w:pPr>
        <w:numPr>
          <w:ilvl w:val="0"/>
          <w:numId w:val="13"/>
        </w:numPr>
        <w:pBdr>
          <w:top w:val="nil"/>
          <w:left w:val="nil"/>
          <w:bottom w:val="nil"/>
          <w:right w:val="nil"/>
          <w:between w:val="nil"/>
        </w:pBdr>
        <w:spacing w:after="0" w:line="240" w:lineRule="auto"/>
        <w:ind w:left="1560"/>
        <w:jc w:val="both"/>
        <w:rPr>
          <w:b/>
          <w:color w:val="FF0000"/>
        </w:rPr>
      </w:pPr>
      <w:r w:rsidRPr="00FF2A67">
        <w:rPr>
          <w:b/>
          <w:color w:val="7B3F00"/>
        </w:rPr>
        <w:t xml:space="preserve">INTRODUCTION </w:t>
      </w:r>
    </w:p>
    <w:p w14:paraId="6416D8F1" w14:textId="77777777" w:rsidR="006D7633" w:rsidRDefault="006D7633">
      <w:pPr>
        <w:pBdr>
          <w:top w:val="nil"/>
          <w:left w:val="nil"/>
          <w:bottom w:val="nil"/>
          <w:right w:val="nil"/>
          <w:between w:val="nil"/>
        </w:pBdr>
        <w:spacing w:after="0" w:line="240" w:lineRule="auto"/>
        <w:ind w:left="2770"/>
        <w:jc w:val="both"/>
        <w:rPr>
          <w:rFonts w:ascii="Corbel" w:eastAsia="Corbel" w:hAnsi="Corbel" w:cs="Corbel"/>
          <w:b/>
          <w:color w:val="FF0000"/>
          <w:sz w:val="16"/>
          <w:szCs w:val="16"/>
        </w:rPr>
      </w:pPr>
    </w:p>
    <w:p w14:paraId="56917619"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The global tourism industry has been significantly impacted by the COVID-19 pandemic, facing unprecedented challenges that have reshaped its landscape. As economies gradually emerge from the shadows of the pandemic, it becomes imperative to assess the repercussions and strategize for recovery. Central to this assessment is understanding the relationship between taxation policies and financial performance within the tourism sector. This study aims to delve into this intricate relationship, exploring the nuances of tax structures and their impact on the financial dynamics of tourism enterprises post-pandemic. Tourism, as a vital sector of many economies, plays a pivotal role in driving economic growth, employment, and development. However, the pandemic-induced disruptions have posed severe challenges, including travel restrictions, border closures, and changes in consumer behavior, leading to substantial revenue losses across the industry. Amidst this backdrop, taxation policies wield significant influence, shaping the financial landscape for tourism businesses. Taxes levied on various aspects of the industry, including accommodation, transportation, and attractions, directly impact profitability, investment decisions, and overall financial performance.</w:t>
      </w:r>
    </w:p>
    <w:p w14:paraId="256C70A1"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 xml:space="preserve"> The specific focus of this study lies in elucidating the interplay between tax policies and financial performance within the post-pandemic tourism industry. It seeks to unravel how variations in tax regimes, such as corporate income taxes, value-added taxes (VAT), and tourist-specific levies, influence </w:t>
      </w:r>
      <w:r w:rsidRPr="00D1502E">
        <w:rPr>
          <w:rFonts w:ascii="EB Garamond" w:eastAsia="EB Garamond" w:hAnsi="EB Garamond" w:cs="EB Garamond"/>
          <w:color w:val="000000"/>
          <w:sz w:val="20"/>
          <w:szCs w:val="20"/>
        </w:rPr>
        <w:lastRenderedPageBreak/>
        <w:t>the financial health and operational strategies of tourism enterprises. Furthermore, it aims to identify potential disparities in taxation across different segments of the tourism value chain, including accommodation providers, tour operators, and destination management organizations. The post-pandemic era presents a unique phenomenon wherein governments worldwide are reevaluating their taxation strategies to stimulate tourism recovery while ensuring fiscal sustainability. On one hand, there is a pressing need to generate revenue to support economic recovery efforts, necessitating the imposition of taxes. On the other hand, excessive taxation could impede the competitiveness of tourism businesses, hampering their ability to recover and thrive in a post-pandemic environment. This juxtaposition underscores the complexity of the phenomenon and the critical need for empirical research to inform evidence-based policymaking.</w:t>
      </w:r>
    </w:p>
    <w:p w14:paraId="4C299845"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Previous studies have explored the relationship between taxation and tourism, albeit within different contexts and research paradigms. Some research has focused on the impact of specific taxes, such as tourist taxes or VAT rates, on tourism demand and destination competitiveness. Others have examined the broader implications of taxation policies on the financial performance and investment behavior of tourism businesses. While these studies provide valuable insights, there remains a dearth of research specifically addressing the post-pandemic landscape and its implications for taxation and financial performance in the tourism sector. The COVID-19 pandemic has had a significant impact on the financial performance of the tourism industry, with companies in the sector showing good financial positions post-pandemic (Yıldız, 2023). To support the industry, countries have implemented financial and monetary policies, including credit and liquidity support, tax breaks, and low interest rates (Şengel, 2022). However, the hotel industry has been particularly hard hit, with increased systematic risk and significant differences in taxation levels (Koutoupis, 2022). The European Union has also implemented financial policies to support the tourism industry during the pandemic (Şengel, 2021).</w:t>
      </w:r>
    </w:p>
    <w:p w14:paraId="61C31AEE" w14:textId="72C3695A" w:rsidR="006D7633"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Maintaining objectivity is paramount in empirical research, particularly in quantitative descriptive studies. Objectivity entails a systematic and unbiased approach to data collection, analysis, and interpretation, aimed at producing reliable and valid findings. In this study, objectivity will be ensured through rigorous methodological frameworks, transparent reporting of findings, and adherence to established academic standards. By upholding objectivity, this research endeavors to contribute empirically grounded insights that can inform policymakers, industry stakeholders, and academic discourse on the intricate relationship between taxation and financial performance in the post-pandemic tourism industry. The proposed study seeks to advance understanding of the complex interplay between taxation policies and financial performance in the post-pandemic tourism industry. By examining this relationship through a quantitative descriptive lens, it aims to provide empirical evidence that can inform policy formulation, strategic decision-making, and scholarly inquiry in the field. Through a rigorous and objective approach, this research endeavors to contribute meaningfully to the ongoing discourse surrounding taxation, tourism, and economic recovery in a post-pandemic world.</w:t>
      </w:r>
    </w:p>
    <w:p w14:paraId="14ED12A0"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20"/>
          <w:szCs w:val="20"/>
        </w:rPr>
      </w:pPr>
    </w:p>
    <w:p w14:paraId="65F048C2" w14:textId="21690B11" w:rsidR="006D7633" w:rsidRPr="00FF2A67" w:rsidRDefault="00775758" w:rsidP="00FF2A67">
      <w:pPr>
        <w:numPr>
          <w:ilvl w:val="0"/>
          <w:numId w:val="13"/>
        </w:numPr>
        <w:pBdr>
          <w:top w:val="nil"/>
          <w:left w:val="nil"/>
          <w:bottom w:val="nil"/>
          <w:right w:val="nil"/>
          <w:between w:val="nil"/>
        </w:pBdr>
        <w:spacing w:after="0" w:line="240" w:lineRule="auto"/>
        <w:ind w:left="1560"/>
        <w:jc w:val="both"/>
        <w:rPr>
          <w:rFonts w:ascii="Corbel" w:eastAsia="Corbel" w:hAnsi="Corbel" w:cs="Corbel"/>
          <w:sz w:val="20"/>
          <w:szCs w:val="20"/>
        </w:rPr>
      </w:pPr>
      <w:r w:rsidRPr="00FF2A67">
        <w:rPr>
          <w:b/>
          <w:color w:val="7B3F00"/>
        </w:rPr>
        <w:t xml:space="preserve">LITERATURE REVIEW </w:t>
      </w:r>
    </w:p>
    <w:p w14:paraId="4E242300" w14:textId="77777777" w:rsidR="00FF2A67" w:rsidRPr="00FF2A67" w:rsidRDefault="00FF2A67" w:rsidP="00FF2A67">
      <w:pPr>
        <w:pBdr>
          <w:top w:val="nil"/>
          <w:left w:val="nil"/>
          <w:bottom w:val="nil"/>
          <w:right w:val="nil"/>
          <w:between w:val="nil"/>
        </w:pBdr>
        <w:spacing w:after="0" w:line="240" w:lineRule="auto"/>
        <w:ind w:left="1560"/>
        <w:jc w:val="both"/>
        <w:rPr>
          <w:rFonts w:ascii="Corbel" w:eastAsia="Corbel" w:hAnsi="Corbel" w:cs="Corbel"/>
          <w:sz w:val="20"/>
          <w:szCs w:val="20"/>
        </w:rPr>
      </w:pPr>
    </w:p>
    <w:p w14:paraId="1DCC0EF9"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The literature surrounding the intersection of taxation policies and financial performance within the tourism industry offers valuable insights into the complex dynamics at play. This literature review aims to synthesize existing research, providing a comprehensive understanding of relevant studies, definitions, and specific explanations pertaining to this domain. By delving into seminal works and recent contributions, this review elucidates key concepts, theoretical frameworks, and empirical findings that inform the proposed study on tax study and financial performance in the post-pandemic tourism industry.</w:t>
      </w:r>
    </w:p>
    <w:p w14:paraId="386716C9"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65E1FCED" w14:textId="3991247C"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Taxation Policies in the Tourism Sector</w:t>
      </w:r>
    </w:p>
    <w:p w14:paraId="29B0FD1F"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05EB4CC1"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 xml:space="preserve">Taxation policies play a critical role in shaping the financial landscape of the tourism industry. Governments worldwide implement various taxes, including corporate income taxes, value-added taxes </w:t>
      </w:r>
      <w:r w:rsidRPr="00D1502E">
        <w:rPr>
          <w:rFonts w:ascii="EB Garamond" w:eastAsia="EB Garamond" w:hAnsi="EB Garamond" w:cs="EB Garamond"/>
          <w:color w:val="000000"/>
          <w:sz w:val="20"/>
          <w:szCs w:val="20"/>
        </w:rPr>
        <w:lastRenderedPageBreak/>
        <w:t>(VAT), tourist-specific levies, and environmental taxes, among others, to generate revenue and regulate tourism activities (Jin, 2017). The impact of these taxes on tourism enterprises' financial performance depends on factors such as tax rates, tax bases, enforcement mechanisms, and industry-specific characteristics (Nunkoo &amp; Ramkissoon, 2011).</w:t>
      </w:r>
    </w:p>
    <w:p w14:paraId="2EEC4E53"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3A858132" w14:textId="74E1A3A7"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Financial Performance of Tourism Enterprise</w:t>
      </w:r>
    </w:p>
    <w:p w14:paraId="2EBA3A19"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3953B03E"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Financial performance metrics serve as crucial indicators of the health and vitality of tourism enterprises, reflecting their ability to generate profits, manage resources efficiently, and navigate the complexities of the market landscape. As emphasized by Kim and Ali (2019), these metrics encompass a range of dimensions, including profitability, liquidity, efficiency, and solvency, each offering valuable insights into the financial well-being of tourism businesses. Commonly utilized financial indicators such as net profit margin, return on investment (ROI), asset turnover, and debt-to-equity ratio provide stakeholders with quantitative measures to assess performance and make informed decisions. Recent research has shed light on the evolving dynamics shaping the financial performance of tourism enterprises, uncovering new insights and trends that warrant consideration. For instance, studies have highlighted the increasing importance of sustainability metrics in assessing the long-term viability and resilience of tourism businesses (Fraj-Andrés et al., 2021). As sustainable practices become integral to consumer preferences and regulatory requirements, tourism enterprises must integrate environmental, social, and governance (ESG) factors into their financial performance assessments to remain competitive and mitigate risks.</w:t>
      </w:r>
    </w:p>
    <w:p w14:paraId="5A9D0839"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Furthermore, advancements in technology have ushered in new opportunities and challenges for tourism businesses, impacting their financial performance in multifaceted ways. Research by Wang et al. (2023) underscores the transformative effects of digitalization on revenue management, customer engagement, and operational efficiency within the tourism sector. As businesses leverage data analytics, artificial intelligence, and online platforms to enhance customer experiences and optimize operations, traditional financial metrics may need to be supplemented with digital performance indicators to capture the full spectrum of value creation. In addition to internal factors, the financial performance of tourism enterprises is profoundly influenced by external forces, including regulatory environments, competitive dynamics, and macroeconomic conditions. Recent studies have highlighted the implications of regulatory changes, such as tax reforms and environmental regulations, on tourism businesses' profitability and investment decisions (Brouder et al., 2022). Moreover, the COVID-19 pandemic has brought unprecedented disruptions to the tourism industry, amplifying the significance of factors such as risk management, adaptability, and crisis resilience in shaping financial outcomes (Gössling et al., 2022). The assessment of financial performance in the tourism industry continues to evolve in response to emerging trends, technological advancements, and external pressures. Integrating insights from recent research, stakeholders can gain a holistic understanding of the factors driving financial performance and proactively address challenges and opportunities in an increasingly dynamic and competitive landscape.</w:t>
      </w:r>
    </w:p>
    <w:p w14:paraId="55515A68"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2D06309B" w14:textId="539F5045"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Theoretical Frameworks</w:t>
      </w:r>
    </w:p>
    <w:p w14:paraId="61838891"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0E1B0FDA"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Theoretical frameworks serve as guiding principles in understanding the intricate relationship between taxation policies and financial performance within the dynamic landscape of the tourism industry. While classical theories provide foundational insights, recent research has expanded upon and refined these frameworks, offering fresh perspectives and nuanced interpretations. The neoclassical economic theory, as elucidated by Blumenthal and Slemrod (1992), posits that taxes distort market equilibrium by altering the incentives and behaviors of economic agents. Recent studies have explored the implications of this theory in the context of tourism taxation, highlighting its relevance in assessing the efficiency and equity of tax policies (Jin, 2017). For instance, research by Xiong et al. (2021) examines the impact of destination taxes on tourist demand elasticity, revealing how tax burdens can influence consumer choices and destination competitiveness.</w:t>
      </w:r>
    </w:p>
    <w:p w14:paraId="3F3BC442"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lastRenderedPageBreak/>
        <w:t>Similarly, the tax incidence theory, pioneered by Pigou (1928), offers insights into how taxes are distributed among stakeholders in the tourism value chain. Recent scholarship has extended this theory to analyze the incidence of various tourism-related taxes, such as accommodation taxes and carbon taxes, on different industry actors (Wan et al., 2020). By considering factors such as price elasticity of demand and supply, researchers have uncovered the differential effects of taxation on tourists, businesses, and local communities, informing debates on tax burden sharing and policy design. Moreover, the institutional theory emphasizes the role of institutional factors in shaping taxation policies and their impact on business behavior (Scott, 2014). Recent studies have explored how institutional contexts, including legal systems, political dynamics, and governance structures, influence tax compliance and enforcement mechanisms within the tourism sector (Sheldon &amp; Tosun, 2018). By examining the interplay between formal institutions (e.g., tax laws) and informal institutions (e.g., social norms), researchers have identified avenues for enhancing tax transparency, fairness, and accountability in tourism destinations (Nunkoo &amp; Ramkissoon, 2021).</w:t>
      </w:r>
    </w:p>
    <w:p w14:paraId="72E4FC4E"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Incorporating insights from these theoretical frameworks, recent research has advanced our understanding of the complex dynamics shaping taxation and financial performance in the tourism industry. By integrating empirical evidence with theoretical perspectives, scholars have contributed to debates on tax policy reform, destination competitiveness, and sustainable tourism development (Pikkemaat et al., 2022). Moving forward, interdisciplinary approaches that bridge economics, sociology, and political science will be essential for addressing emerging challenges and opportunities in tourism taxation research.</w:t>
      </w:r>
    </w:p>
    <w:p w14:paraId="55B01E7E"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608E9FD0" w14:textId="4B3852EE"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Specific Explanations</w:t>
      </w:r>
    </w:p>
    <w:p w14:paraId="5A95D8CF"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41AB6CC5"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Recent research continues to advance our understanding of the nuanced relationship between taxation policies and financial performance in the dynamic context of the tourism sector. Building upon earlier studies, recent investigations have provided fresh insights into specific aspects of taxation and their implications for tourism businesses and destinations. One notable area of inquiry revolves around the effects of tourist taxes on destination competitiveness and visitor spending, as highlighted by Guillet and Jamal (2014). Recent studies have delved deeper into this topic, examining how variations in tourist tax rates and structures impact destination choice, tourist behavior, and destination revenue streams (Kim et al., 2021). For example, research by Wang and Kim (2023) explores the differential effects of destination taxes on tourist perceptions of value and satisfaction, shedding light on the intricate interplay between taxation, destination quality, and visitor expenditure patterns.</w:t>
      </w:r>
    </w:p>
    <w:p w14:paraId="687886CC"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Additionally, recent research has expanded our understanding of the relationship between value-added tax (VAT) rates and tourism demand elasticity, offering insights into pricing strategies and revenue management practices (O'Connor et al., 2012). Emerging studies have explored how changes in VAT rates, both domestically and internationally, influence tourism demand dynamics and consumer behavior (Zhang et al., 2022). By employing advanced econometric techniques and big data analytics, researchers have uncovered nonlinear relationships between VAT rates and tourist expenditure patterns, challenging conventional assumptions and offering new avenues for policy intervention (Li et al., 2023).</w:t>
      </w:r>
    </w:p>
    <w:p w14:paraId="72D83A04"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 xml:space="preserve">Furthermore, recent research has investigated the influence of tax incentives and subsidies on tourism investment and entrepreneurship, recognizing their role in shaping industry dynamics and fostering innovation (Xiang et al., 2020). Studies have examined the effectiveness of various tax incentive schemes, such as tax credits for tourism infrastructure development or tax breaks for small and medium-sized enterprises (SMEs) in the tourism sector (Meng et al., 2021). Moreover, research has explored the impact of government subsidies on tourism entrepreneurship, highlighting their potential to stimulate investment, job creation, and sustainable growth in tourism-dependent communities (Chen &amp; Huang, 2022). Incorporating insights from these recent studies, it becomes evident that taxation policies exert a multifaceted influence on the financial performance and competitiveness of tourism enterprises and destinations. By adopting a holistic approach that considers the interplay between tax regimes, market dynamics, and policy interventions, policymakers, industry stakeholders, </w:t>
      </w:r>
      <w:r w:rsidRPr="00D1502E">
        <w:rPr>
          <w:rFonts w:ascii="EB Garamond" w:eastAsia="EB Garamond" w:hAnsi="EB Garamond" w:cs="EB Garamond"/>
          <w:color w:val="000000"/>
          <w:sz w:val="20"/>
          <w:szCs w:val="20"/>
        </w:rPr>
        <w:lastRenderedPageBreak/>
        <w:t>and researchers can devise strategies to optimize taxation policies and support sustainable tourism development.</w:t>
      </w:r>
    </w:p>
    <w:p w14:paraId="6C369998"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05AF5D06" w14:textId="77777777"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Post-Pandemic Considerations</w:t>
      </w:r>
    </w:p>
    <w:p w14:paraId="33906BF3"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p>
    <w:p w14:paraId="468A08AB"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The COVID-19 pandemic has not only brought unprecedented challenges but has also reshaped the very fabric of the tourism industry, necessitating a comprehensive reevaluation of taxation policies and financial strategies to navigate the evolving landscape. As highlighted by Gössling et al. (2020), the pandemic has inflicted severe adverse effects on tourism revenues, employment, and the overall viability of tourism businesses worldwide. Recent research has provided further insights into the extent and magnitude of these impacts, revealing the profound disruptions experienced across various tourism sectors, including accommodation, transportation, attractions, and events (Hall et al., 2021). Moreover, studies underscore the importance of targeted fiscal measures in supporting tourism recovery efforts and mitigating long-term damage inflicted by the pandemic (Gössling et al., 2021). Recent research has elucidated the efficacy of different fiscal interventions, ranging from tax relief and financial assistance to sector-specific stimulus packages and recovery funds (Hassan &amp; Sheng, 2022). For instance, empirical evidence suggests that temporary tax exemptions or reductions on hospitality-related taxes, such as accommodation taxes and value-added taxes, can alleviate financial burdens on tourism businesses and stimulate consumer demand (Schuster et al., 2023).</w:t>
      </w:r>
    </w:p>
    <w:p w14:paraId="387B5539" w14:textId="77777777" w:rsidR="00D1502E" w:rsidRPr="00D1502E"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Furthermore, recent studies have highlighted the role of taxation policies in fostering resilience and sustainability within the tourism industry in the post-pandemic era. Research by Jamal et al. (2022) explores how adaptive taxation frameworks can incentivize investments in health and safety protocols, environmental sustainability, and community resilience, thereby enhancing destination competitiveness and long-term viability. By aligning taxation policies with broader policy objectives, such as sustainable development goals and climate change mitigation strategies, governments can leverage fiscal instruments to drive transformative change and build back better (Han et al., 2021).</w:t>
      </w:r>
    </w:p>
    <w:p w14:paraId="5F86AB6A" w14:textId="6E814206" w:rsidR="006D7633" w:rsidRDefault="00D1502E" w:rsidP="00D1502E">
      <w:pPr>
        <w:pBdr>
          <w:top w:val="nil"/>
          <w:left w:val="nil"/>
          <w:bottom w:val="nil"/>
          <w:right w:val="nil"/>
          <w:between w:val="nil"/>
        </w:pBdr>
        <w:spacing w:after="0" w:line="240" w:lineRule="auto"/>
        <w:ind w:left="1260" w:firstLine="270"/>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Additionally, recent research has emphasized the importance of international cooperation and coordination in addressing taxation challenges in the tourism sector amidst the ongoing pandemic. Studies have examined the implications of divergent taxation policies and regulatory frameworks across countries, highlighting the need for harmonization and standardization to facilitate seamless travel and tourism operations (Gössling &amp; Scott, 2022). By fostering collaboration among governments, international organizations, and industry stakeholders, policymakers can streamline tax procedures, enhance transparency, and promote fair competition, thereby fostering a conducive environment for tourism recovery and sustainable growth. The COVID-19 pandemic has underscored the critical importance of taxation policies and financial strategies in supporting the resilience and recovery of the tourism industry. By drawing upon insights from recent research and leveraging innovative fiscal measures, governments and industry stakeholders can navigate the complexities of the post-pandemic landscape, foster sustainable development, and build a more resilient and inclusive tourism sector for the future.</w:t>
      </w:r>
    </w:p>
    <w:p w14:paraId="4C6AE1F1" w14:textId="77777777" w:rsidR="006D7633" w:rsidRDefault="006D7633">
      <w:pPr>
        <w:pBdr>
          <w:top w:val="nil"/>
          <w:left w:val="nil"/>
          <w:bottom w:val="nil"/>
          <w:right w:val="nil"/>
          <w:between w:val="nil"/>
        </w:pBdr>
        <w:spacing w:after="0" w:line="240" w:lineRule="auto"/>
        <w:ind w:left="2835" w:hanging="425"/>
        <w:jc w:val="both"/>
        <w:rPr>
          <w:rFonts w:ascii="EB Garamond" w:eastAsia="EB Garamond" w:hAnsi="EB Garamond" w:cs="EB Garamond"/>
          <w:color w:val="000000"/>
          <w:sz w:val="20"/>
          <w:szCs w:val="20"/>
        </w:rPr>
      </w:pPr>
    </w:p>
    <w:p w14:paraId="3B6AABA0" w14:textId="1DCA3D29" w:rsidR="006D7633" w:rsidRPr="00FF2A67" w:rsidRDefault="00775758">
      <w:pPr>
        <w:numPr>
          <w:ilvl w:val="0"/>
          <w:numId w:val="13"/>
        </w:numPr>
        <w:pBdr>
          <w:top w:val="nil"/>
          <w:left w:val="nil"/>
          <w:bottom w:val="nil"/>
          <w:right w:val="nil"/>
          <w:between w:val="nil"/>
        </w:pBdr>
        <w:spacing w:after="0" w:line="240" w:lineRule="auto"/>
        <w:ind w:left="1560"/>
        <w:jc w:val="both"/>
        <w:rPr>
          <w:rFonts w:ascii="Corbel" w:eastAsia="Corbel" w:hAnsi="Corbel" w:cs="Corbel"/>
          <w:b/>
          <w:color w:val="7B3F00"/>
        </w:rPr>
      </w:pPr>
      <w:r w:rsidRPr="00FF2A67">
        <w:rPr>
          <w:b/>
          <w:color w:val="7B3F00"/>
        </w:rPr>
        <w:t>RESEARCH METHOD AND MATERIALS</w:t>
      </w:r>
      <w:r w:rsidRPr="00FF2A67">
        <w:rPr>
          <w:rFonts w:ascii="Corbel" w:eastAsia="Corbel" w:hAnsi="Corbel" w:cs="Corbel"/>
          <w:b/>
          <w:color w:val="7B3F00"/>
        </w:rPr>
        <w:t xml:space="preserve"> </w:t>
      </w:r>
    </w:p>
    <w:p w14:paraId="0646E123" w14:textId="77777777" w:rsidR="006D7633" w:rsidRPr="00FF2A67"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7B3F00"/>
          <w:sz w:val="18"/>
          <w:szCs w:val="18"/>
        </w:rPr>
      </w:pPr>
    </w:p>
    <w:p w14:paraId="499DA794"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In conducting a qualitative research study focused on literature review, the aim is to systematically analyze and synthesize existing literature to gain deeper insights into the chosen topic. This section outlines the research methodology employed for the qualitative study of literature on taxation policies and financial performance in the tourism industry. The methodology encompasses various stages, including research design, data collection, data analysis, and ethical considerations.</w:t>
      </w:r>
    </w:p>
    <w:p w14:paraId="4032C6B0"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76FD1351" w14:textId="77777777"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Research Design</w:t>
      </w:r>
    </w:p>
    <w:p w14:paraId="65DB1245"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058C70C"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 xml:space="preserve">The research design for this qualitative literature review involves a systematic and comprehensive approach to identify, evaluate, and synthesize relevant literature. The study adopts a systematic review </w:t>
      </w:r>
      <w:r w:rsidRPr="00D1502E">
        <w:rPr>
          <w:rFonts w:ascii="EB Garamond" w:eastAsia="EB Garamond" w:hAnsi="EB Garamond" w:cs="EB Garamond"/>
          <w:color w:val="000000"/>
          <w:sz w:val="20"/>
          <w:szCs w:val="20"/>
        </w:rPr>
        <w:lastRenderedPageBreak/>
        <w:t>methodology to ensure rigor and transparency in the selection and analysis of literature. Systematic review methods involve predefined search strategies, inclusion and exclusion criteria, and transparent reporting standards (Petticrew &amp; Roberts, 2006).</w:t>
      </w:r>
    </w:p>
    <w:p w14:paraId="08D8D302"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1239752" w14:textId="77777777"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Data Collection</w:t>
      </w:r>
    </w:p>
    <w:p w14:paraId="4D70E2FB"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7EC087E1"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The primary data collection method for this qualitative study involves the systematic identification and retrieval of relevant literature from academic databases, scholarly journals, books, conference proceedings, and other reputable sources. The search strategy is designed to capture a comprehensive range of literature relevant to the research topic, including empirical studies, theoretical frameworks, conceptual models, and case studies. To ensure the comprehensiveness of the literature search, multiple academic databases such as PubMed, Scopus, Web of Science, and Google Scholar are utilized. The search strategy incorporates a combination of keywords, Boolean operators, and search filters tailored to the specific research focus. The inclusion criteria for selecting literature include relevance to the topic, currency, academic rigor, and methodological appropriateness.</w:t>
      </w:r>
    </w:p>
    <w:p w14:paraId="3B29C018"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BBB2E36" w14:textId="77777777"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Data Analysis</w:t>
      </w:r>
    </w:p>
    <w:p w14:paraId="66E8B11F"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7DFD47F"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D1502E">
        <w:rPr>
          <w:rFonts w:ascii="EB Garamond" w:eastAsia="EB Garamond" w:hAnsi="EB Garamond" w:cs="EB Garamond"/>
          <w:color w:val="000000"/>
          <w:sz w:val="20"/>
          <w:szCs w:val="20"/>
        </w:rPr>
        <w:t>The data analysis process involves systematic coding, categorization, and synthesis of information extracted from the selected literature. The qualitative analysis follows established procedures such as thematic analysis, content analysis, and narrative synthesis (Thomas &amp; Harden, 2008). Themes and patterns emerging from the literature are identified and organized to address research objectives and research questions. The analysis involves iterative cycles of reading, coding, and interpretation to deepen understanding and ensure rigor in the synthesis of findings. Data management software such as NVivo or Atlas.ti may be utilized to facilitate the organization and analysis of large volumes of literature.</w:t>
      </w:r>
    </w:p>
    <w:p w14:paraId="30E7C4A2"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66F530B" w14:textId="77777777" w:rsidR="00D1502E" w:rsidRPr="00775758" w:rsidRDefault="00D1502E" w:rsidP="00D1502E">
      <w:pPr>
        <w:pStyle w:val="ListParagraph"/>
        <w:numPr>
          <w:ilvl w:val="1"/>
          <w:numId w:val="13"/>
        </w:numPr>
        <w:pBdr>
          <w:top w:val="nil"/>
          <w:left w:val="nil"/>
          <w:bottom w:val="nil"/>
          <w:right w:val="nil"/>
          <w:between w:val="nil"/>
        </w:pBdr>
        <w:spacing w:after="0" w:line="240" w:lineRule="auto"/>
        <w:ind w:left="1530"/>
        <w:jc w:val="both"/>
        <w:rPr>
          <w:rFonts w:ascii="EB Garamond" w:eastAsia="EB Garamond" w:hAnsi="EB Garamond" w:cs="EB Garamond"/>
          <w:color w:val="000000"/>
          <w:sz w:val="18"/>
          <w:szCs w:val="18"/>
        </w:rPr>
      </w:pPr>
      <w:r w:rsidRPr="00775758">
        <w:rPr>
          <w:rFonts w:ascii="Corbel" w:eastAsia="Corbel" w:hAnsi="Corbel" w:cs="Corbel"/>
          <w:bCs/>
          <w:i/>
          <w:iCs/>
          <w:color w:val="7B3F00"/>
          <w:sz w:val="20"/>
          <w:szCs w:val="20"/>
          <w:lang w:eastAsia="id-ID"/>
        </w:rPr>
        <w:t>Ethical Considerations</w:t>
      </w:r>
    </w:p>
    <w:p w14:paraId="37D19ED2" w14:textId="77777777" w:rsidR="00D1502E" w:rsidRPr="00D1502E"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5302B983" w14:textId="7FC69F40" w:rsidR="00D3538A" w:rsidRDefault="00D1502E" w:rsidP="00D1502E">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18"/>
          <w:szCs w:val="18"/>
        </w:rPr>
      </w:pPr>
      <w:r w:rsidRPr="00D1502E">
        <w:rPr>
          <w:rFonts w:ascii="EB Garamond" w:eastAsia="EB Garamond" w:hAnsi="EB Garamond" w:cs="EB Garamond"/>
          <w:color w:val="000000"/>
          <w:sz w:val="20"/>
          <w:szCs w:val="20"/>
        </w:rPr>
        <w:t>Ethical considerations are paramount in conducting qualitative research, including literature review. The study adheres to ethical principles such as integrity, confidentiality, and respect for intellectual property rights. Proper citation and acknowledgment of sources are essential to avoid plagiarism and uphold academic integrity. Additionally, the research prioritizes transparency and accountability in reporting methods, findings, and interpretations. Any potential conflicts of interest or biases are disclosed to maintain credibility and trustworthiness in the research process. The qualitative research methodology employed for this literature review study adopts a systematic approach to identify, evaluate, and synthesize existing literature on taxation policies and financial performance in the tourism industry. By following rigorous research design principles, data collection methods, and ethical considerations, the study aims to generate valuable insights and contribute to scholarly understanding in the field.</w:t>
      </w:r>
    </w:p>
    <w:p w14:paraId="2A93B7D9" w14:textId="77777777" w:rsidR="00D3538A" w:rsidRDefault="00D3538A" w:rsidP="00D3538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000D0D5" w14:textId="5FF6AAAF" w:rsidR="006D7633" w:rsidRPr="00FF2A67" w:rsidRDefault="00775758">
      <w:pPr>
        <w:numPr>
          <w:ilvl w:val="0"/>
          <w:numId w:val="13"/>
        </w:numPr>
        <w:pBdr>
          <w:top w:val="nil"/>
          <w:left w:val="nil"/>
          <w:bottom w:val="nil"/>
          <w:right w:val="nil"/>
          <w:between w:val="nil"/>
        </w:pBdr>
        <w:spacing w:after="0" w:line="240" w:lineRule="auto"/>
        <w:ind w:left="1560"/>
        <w:jc w:val="both"/>
        <w:rPr>
          <w:color w:val="7B3F00"/>
        </w:rPr>
      </w:pPr>
      <w:r w:rsidRPr="00FF2A67">
        <w:rPr>
          <w:b/>
          <w:color w:val="7B3F00"/>
        </w:rPr>
        <w:t xml:space="preserve">RESULTS AND DISCUSSION </w:t>
      </w:r>
    </w:p>
    <w:p w14:paraId="3A583C6B"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523A2BFD"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The COVID-19 pandemic has profoundly impacted the global tourism industry, necessitating a reevaluation of taxation policies and financial strategies to support recovery and sustainable growth in the post-pandemic era. This section presents the results and discussions derived from the qualitative literature review on taxation policies and financial performance in the tourism industry post-pandemic, focusing on key findings, implications, and avenues for future research.</w:t>
      </w:r>
    </w:p>
    <w:p w14:paraId="1CB67B67"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FA8E6E0" w14:textId="77777777" w:rsidR="00B41DAA" w:rsidRPr="00775758" w:rsidRDefault="00B41DAA" w:rsidP="00B41DAA">
      <w:pPr>
        <w:pStyle w:val="ListParagraph"/>
        <w:numPr>
          <w:ilvl w:val="1"/>
          <w:numId w:val="13"/>
        </w:numPr>
        <w:pBdr>
          <w:top w:val="nil"/>
          <w:left w:val="nil"/>
          <w:bottom w:val="nil"/>
          <w:right w:val="nil"/>
          <w:between w:val="nil"/>
        </w:pBdr>
        <w:spacing w:after="0" w:line="240" w:lineRule="auto"/>
        <w:ind w:left="1530"/>
        <w:jc w:val="both"/>
        <w:rPr>
          <w:rFonts w:ascii="EB Garamond" w:eastAsia="EB Garamond" w:hAnsi="EB Garamond" w:cs="EB Garamond"/>
          <w:color w:val="000000"/>
          <w:sz w:val="18"/>
          <w:szCs w:val="18"/>
        </w:rPr>
      </w:pPr>
      <w:r w:rsidRPr="00775758">
        <w:rPr>
          <w:rFonts w:ascii="Corbel" w:eastAsia="Corbel" w:hAnsi="Corbel" w:cs="Corbel"/>
          <w:bCs/>
          <w:i/>
          <w:iCs/>
          <w:color w:val="7B3F00"/>
          <w:sz w:val="20"/>
          <w:szCs w:val="20"/>
          <w:lang w:eastAsia="id-ID"/>
        </w:rPr>
        <w:t>Impact of the Pandemic on Tourism Financial Performance</w:t>
      </w:r>
    </w:p>
    <w:p w14:paraId="2DADEBA7"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4363C10"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 xml:space="preserve">The COVID-19 pandemic has presented unparalleled challenges to the financial performance of tourism businesses globally, eliciting profound repercussions across various dimensions of the industry. </w:t>
      </w:r>
      <w:r w:rsidRPr="00B41DAA">
        <w:rPr>
          <w:rFonts w:ascii="EB Garamond" w:eastAsia="EB Garamond" w:hAnsi="EB Garamond" w:cs="EB Garamond"/>
          <w:color w:val="000000"/>
          <w:sz w:val="20"/>
          <w:szCs w:val="20"/>
        </w:rPr>
        <w:lastRenderedPageBreak/>
        <w:t>Extensive scholarly literature documents the significant adverse impacts of the pandemic on tourism revenues, occupancy rates, and profitability, attributing these downturns to a confluence of factors such as stringent travel restrictions, border closures, and consumer hesitancy to engage in non-essential travel (Gössling et al., 2020). For instance, research conducted by Gössling and colleagues underscores the severity of the decline in tourism revenues, highlighting the unprecedented scale of economic disruption experienced by tourism businesses worldwide. Moreover, the pandemic-induced disruptions have reverberated throughout the tourism supply chain, exacerbating existing vulnerabilities and amplifying inequalities within the sector. Small and medium-sized enterprises (SMEs) reliant on tourism-related activities have been particularly hard-hit, facing acute financial strain and operational challenges due to prolonged closures, reduced visitor numbers, and uncertainty surrounding future travel patterns (Hassan &amp; Sheng, 2022). Hassan and Sheng's study provides valuable insights into the disproportionate impact of the pandemic on SMEs, emphasizing the need for targeted support measures to bolster their resilience and facilitate recovery.</w:t>
      </w:r>
    </w:p>
    <w:p w14:paraId="2FAAF5D9"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Furthermore, the pandemic has exposed and exacerbated pre-existing structural inequalities within the tourism sector, with marginalized communities and developing countries bearing the brunt of economic losses and social dislocation. Research conducted by the United Nations World Tourism Organization (UNWTO) highlights the unequal distribution of economic impacts, pointing to disparities in access to resources, infrastructure, and support mechanisms among tourism-dependent communities (UNWTO, 2021). This underscores the importance of adopting a multi-dimensional perspective in understanding the differential impacts of the pandemic on various stakeholders within the tourism ecosystem. From an economic perspective, the pandemic-induced downturn in tourism has far-reaching implications for local economies, employment, and livelihoods, particularly in regions heavily reliant on tourism as a primary source of income. Studies indicate a sharp decline in tourism-related employment and income levels, exacerbating poverty and socio-economic inequalities in destination communities (Becken et al., 2021). Becken and colleagues' research sheds light on the socio-economic ramifications of the pandemic, emphasizing the urgent need for targeted interventions to support vulnerable populations and mitigate adverse social outcomes.</w:t>
      </w:r>
    </w:p>
    <w:p w14:paraId="4CA65CF9"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Moreover, the pandemic has prompted a reevaluation of the structural vulnerabilities inherent in the global tourism system, including overreliance on mass tourism, inadequate crisis preparedness, and insufficient diversification of tourism products and markets. Scholars advocate for a paradigm shift towards more sustainable and resilient tourism models, characterized by greater emphasis on community engagement, cultural preservation, and environmental stewardship (Scott &amp; Hall, 2021). Scott and Hall's research underscores the imperative of building back better, fostering sustainable tourism practices that promote long-term resilience and equitable development. In addition to economic and social dimensions, the pandemic has profound cultural and psychological impacts on tourism stakeholders, including residents, tourists, and industry professionals. Research indicates shifts in consumer preferences and behaviors, with an increased emphasis on health, safety, and sustainability in travel decision-making (Sigala et al., 2021). Sigala and colleagues' study highlights the emergence of new travel trends and patterns, underscoring the importance of adapting tourism offerings and marketing strategies to meet evolving consumer demands.</w:t>
      </w:r>
    </w:p>
    <w:p w14:paraId="25499FD0"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 xml:space="preserve">Furthermore, the pandemic has prompted reflection and innovation within the tourism industry, catalyzing digital transformation, creative adaptation, and collaboration among stakeholders. Research suggests that digital technologies have played a pivotal role in enabling virtual experiences, contactless transactions, and remote work arrangements, thereby reshaping tourism practices and business models (Gretzel et al., 2022). Gretzel and colleagues' study underscores the transformative potential of digitalization in driving tourism recovery and fostering resilience in the face of future crises. Overall, the COVID-19 pandemic has precipitated a seismic upheaval in the global tourism landscape, exposing vulnerabilities, exacerbating inequalities, and prompting reevaluation and adaptation across multiple dimensions. From economic hardships and social dislocation to cultural shifts and technological innovation, the pandemic's impacts are multifaceted and far-reaching, necessitating a comprehensive and multi-perspective approach to understanding and addressing the challenges and opportunities that lie ahead. As the tourism industry navigates the uncertain terrain of the post-pandemic world, </w:t>
      </w:r>
      <w:r w:rsidRPr="00B41DAA">
        <w:rPr>
          <w:rFonts w:ascii="EB Garamond" w:eastAsia="EB Garamond" w:hAnsi="EB Garamond" w:cs="EB Garamond"/>
          <w:color w:val="000000"/>
          <w:sz w:val="20"/>
          <w:szCs w:val="20"/>
        </w:rPr>
        <w:lastRenderedPageBreak/>
        <w:t>interdisciplinary research and collaborative action will be essential in shaping a more resilient, inclusive, and sustainable tourism future.</w:t>
      </w:r>
    </w:p>
    <w:p w14:paraId="1484C2DC"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443432A9" w14:textId="77777777" w:rsidR="00B41DAA" w:rsidRPr="00775758" w:rsidRDefault="00B41DAA" w:rsidP="00B41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Role of Taxation Policies in Supporting Tourism Recovery</w:t>
      </w:r>
    </w:p>
    <w:p w14:paraId="218854D7"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62B6E9C"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(Hassan &amp; Sheng, 2022). Hassan and Sheng's study provides insights into the potential synergies between fiscal policy and private sector initiatives in advancing sustainable tourism development goals. Furthermore, taxation policies have implications for social equity and inclusion within the tourism sector, particularly in terms of distributional impacts and access to benefits. Studies indicate that tax relief measures targeted at SMEs and marginalized communities can help mitigate inequalities and promote inclusive growth in the tourism economy (UNWTO, 2021). UNWTO's research underscores the importance of designing taxation policies that prioritize social welfare considerations, ensuring that vulnerable populations are not disproportionately burdened by tax obligations or excluded from the benefits of tourism development.</w:t>
      </w:r>
    </w:p>
    <w:p w14:paraId="4B3F1A7B"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In addition to economic and social dimensions, taxation policies intersect with environmental sustainability goals, influencing resource allocation, environmental management, and climate change mitigation efforts in the tourism sector. Research suggests that eco-taxation mechanisms, such as carbon taxes and environmental levies, can internalize the external costs of tourism activities, incentivize sustainable practices, and generate revenue for conservation and environmental protection initiatives (Scott &amp; Hall, 2021). Scott and Hall's study highlights the potential of taxation policies as tools for promoting environmental stewardship and advancing sustainable tourism practices. Furthermore, the effectiveness of taxation policies in achieving desired outcomes depends on factors such as policy design, implementation mechanisms, and stakeholder engagement. Research suggests that transparent and participatory decision-making processes, coupled with effective monitoring and evaluation mechanisms, are essential for ensuring the efficiency, effectiveness, and fairness of taxation policies in the tourism sector (Sigala et al., 2021). Sigala and colleagues' study emphasizes the importance of stakeholder collaboration and governance mechanisms in shaping taxation policies that reflect diverse interests and preferences within the tourism ecosystem.</w:t>
      </w:r>
    </w:p>
    <w:p w14:paraId="4EE7C948"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Taxation policies play a multifaceted role in shaping the financial, social, environmental, and governance dimensions of the tourism industry. From stimulating economic recovery and fostering industry resilience to promoting social equity and environmental sustainability, taxation policies have far-reaching implications for the future trajectory of tourism development. Moving forward, interdisciplinary research and collaborative policymaking efforts will be essential in designing and implementing taxation policies that balance competing interests, address complex challenges, and maximize the positive impacts of tourism on society and the environment.</w:t>
      </w:r>
    </w:p>
    <w:p w14:paraId="2D21BEE0"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2A46A8D" w14:textId="77777777" w:rsidR="00B41DAA" w:rsidRPr="00775758" w:rsidRDefault="00B41DAA" w:rsidP="00B41DAA">
      <w:pPr>
        <w:pStyle w:val="ListParagraph"/>
        <w:numPr>
          <w:ilvl w:val="1"/>
          <w:numId w:val="13"/>
        </w:numPr>
        <w:pBdr>
          <w:top w:val="nil"/>
          <w:left w:val="nil"/>
          <w:bottom w:val="nil"/>
          <w:right w:val="nil"/>
          <w:between w:val="nil"/>
        </w:pBdr>
        <w:spacing w:after="0" w:line="240" w:lineRule="auto"/>
        <w:ind w:left="1530"/>
        <w:jc w:val="both"/>
        <w:rPr>
          <w:rFonts w:ascii="EB Garamond" w:eastAsia="EB Garamond" w:hAnsi="EB Garamond" w:cs="EB Garamond"/>
          <w:color w:val="000000"/>
          <w:sz w:val="18"/>
          <w:szCs w:val="18"/>
        </w:rPr>
      </w:pPr>
      <w:r w:rsidRPr="00775758">
        <w:rPr>
          <w:rFonts w:ascii="Corbel" w:eastAsia="Corbel" w:hAnsi="Corbel" w:cs="Corbel"/>
          <w:bCs/>
          <w:i/>
          <w:iCs/>
          <w:color w:val="7B3F00"/>
          <w:sz w:val="20"/>
          <w:szCs w:val="20"/>
          <w:lang w:eastAsia="id-ID"/>
        </w:rPr>
        <w:t>Implications for Policy and Practice</w:t>
      </w:r>
    </w:p>
    <w:p w14:paraId="78984829"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5153BCB"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The findings from the literature review underscore several implications for policymakers, industry stakeholders, and destination managers in designing effective taxation policies and financial strategies to support tourism recovery and sustainable development in the post-pandemic era. This section delves into these implications from various multi-perspectives, highlighting the diverse strategies and collaborative efforts needed to navigate the complexities of the current landscape. Policymakers play a pivotal role in shaping the regulatory environment and setting the framework for taxation policies that support tourism recovery and long-term sustainability. Gössling and Scott (2022) advocate for a flexible and adaptive approach to taxation policies, emphasizing the importance of periodic reviews and adjustments to align with the evolving dynamics of the tourism industry. Policymakers need to remain responsive to changing circumstances, considering the shifting needs and priorities of stakeholders in the post-pandemic context. This entails not only revisiting existing tax regimes but also implementing targeted incentives to encourage investment in resilience-building measures. Collaborative efforts with international partners are also essential to harmonize taxation frameworks and ensure consistency across borders, facilitating cross-border tourism flows and promoting global recovery efforts.</w:t>
      </w:r>
    </w:p>
    <w:p w14:paraId="1AA39EB5"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lastRenderedPageBreak/>
        <w:t>Industry stakeholders, including tourism businesses, associations, and entrepreneurs, are instrumental in driving innovation and adaptation in response to the new realities of post-pandemic tourism. UNWTO (2022) emphasizes the importance of collaboration and innovation in diversifying revenue streams and embracing digitalization to enhance competitiveness and sustainability. Tourism businesses need to leverage technology-driven solutions to optimize operations, enhance customer experiences, and mitigate risks associated with future disruptions. Moreover, integrating sustainability principles into business operations is imperative for long-term viability and resilience. This may involve adopting eco-friendly practices, promoting responsible tourism initiatives, and engaging in community development projects that contribute to socio-economic well-being and environmental conservation.</w:t>
      </w:r>
    </w:p>
    <w:p w14:paraId="120C55EE"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Destination managers play a crucial role in shaping the overall visitor experience and enhancing destination competitiveness in the post-pandemic landscape. Hall and Prayag (2021) highlight the significance of strategic destination marketing, infrastructure development, and community engagement initiatives in driving tourism recovery and sustainable development. Destination managers need to adopt a holistic approach that considers the diverse needs and preferences of visitors while preserving the cultural and natural assets of the destination. This may involve investing in infrastructure upgrades, promoting off-peak tourism seasons, and fostering partnerships with local communities to ensure inclusive and responsible tourism practices. From an economic perspective, effective taxation policies can stimulate investment, create employment opportunities, and drive economic growth in destination communities. Research suggests that targeted fiscal incentives, such as tax breaks for tourism-related investments, can attract private sector capital and spur infrastructure development (Becken et al., 2021). Additionally, taxation policies that prioritize sustainability goals, such as carbon pricing mechanisms, can incentivize businesses to adopt environmentally friendly practices and mitigate negative impacts on local ecosystems (Scott &amp; Hall, 2021). By aligning taxation policies with broader economic development objectives, policymakers can leverage the tourism sector as a catalyst for inclusive and sustainable growth.</w:t>
      </w:r>
    </w:p>
    <w:p w14:paraId="7E494C92"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Social equity considerations are also paramount in designing taxation policies that promote inclusive development and address disparities within the tourism sector. UNWTO (2021) emphasizes the importance of targeted support measures for SMEs and marginalized communities, ensuring that they have equitable access to opportunities and benefits derived from tourism development. Tax relief measures, capacity-building initiatives, and community-based tourism projects can empower local stakeholders and enhance their participation in the tourism value chain, thereby fostering socio-economic resilience and reducing inequalities. Designing effective taxation policies and financial strategies to support tourism recovery and sustainable development post-pandemic requires a multi-faceted approach that considers the diverse needs and perspectives of stakeholders. Policymakers, industry stakeholders, and destination managers need to collaborate closely, innovate proactively, and prioritize sustainability principles to navigate the challenges and opportunities of the current landscape. By adopting a holistic and inclusive approach, stakeholders can leverage the transformative potential of tourism to drive economic prosperity, social equity, and environmental stewardship in destination communities.</w:t>
      </w:r>
    </w:p>
    <w:p w14:paraId="5D0B7752"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BED6F6A" w14:textId="77777777" w:rsidR="00B41DAA" w:rsidRPr="00775758" w:rsidRDefault="00B41DAA" w:rsidP="00B41DAA">
      <w:pPr>
        <w:pStyle w:val="ListParagraph"/>
        <w:numPr>
          <w:ilvl w:val="1"/>
          <w:numId w:val="13"/>
        </w:numPr>
        <w:pBdr>
          <w:top w:val="nil"/>
          <w:left w:val="nil"/>
          <w:bottom w:val="nil"/>
          <w:right w:val="nil"/>
          <w:between w:val="nil"/>
        </w:pBdr>
        <w:spacing w:after="0" w:line="240" w:lineRule="auto"/>
        <w:ind w:left="1530"/>
        <w:jc w:val="both"/>
        <w:rPr>
          <w:rFonts w:ascii="Corbel" w:eastAsia="Corbel" w:hAnsi="Corbel" w:cs="Corbel"/>
          <w:bCs/>
          <w:i/>
          <w:iCs/>
          <w:color w:val="7B3F00"/>
          <w:sz w:val="20"/>
          <w:szCs w:val="20"/>
          <w:lang w:eastAsia="id-ID"/>
        </w:rPr>
      </w:pPr>
      <w:r w:rsidRPr="00775758">
        <w:rPr>
          <w:rFonts w:ascii="Corbel" w:eastAsia="Corbel" w:hAnsi="Corbel" w:cs="Corbel"/>
          <w:bCs/>
          <w:i/>
          <w:iCs/>
          <w:color w:val="7B3F00"/>
          <w:sz w:val="20"/>
          <w:szCs w:val="20"/>
          <w:lang w:eastAsia="id-ID"/>
        </w:rPr>
        <w:t>Future Research Directions</w:t>
      </w:r>
    </w:p>
    <w:p w14:paraId="7ED7FB30"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3ECC5DCB"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 xml:space="preserve">The identification of future research avenues is crucial for advancing understanding and addressing gaps in the literature on taxation policies and financial performance in the tourism industry post-pandemic. This section elaborates on these research directions from various multi-perspectives, highlighting the potential contributions to theory, policy, and practice in the field. Empirical studies examining the effectiveness of fiscal interventions in supporting tourism recovery represent a pressing research need in light of the ongoing challenges faced by the industry. Hassan and Sheng (2022) stress the importance of conducting empirical research to assess the impact of different fiscal measures on tourism businesses' financial performance and resilience across diverse contexts and geographic regions. By analyzing real-world data and case studies, researchers can gain valuable insights into the efficacy of specific fiscal interventions, such as tax relief, financial assistance, and stimulus packages, in mitigating </w:t>
      </w:r>
      <w:r w:rsidRPr="00B41DAA">
        <w:rPr>
          <w:rFonts w:ascii="EB Garamond" w:eastAsia="EB Garamond" w:hAnsi="EB Garamond" w:cs="EB Garamond"/>
          <w:color w:val="000000"/>
          <w:sz w:val="20"/>
          <w:szCs w:val="20"/>
        </w:rPr>
        <w:lastRenderedPageBreak/>
        <w:t>the adverse effects of the pandemic and fostering industry recovery. This empirical evidence can inform evidence-based policymaking and guide the design of targeted support measures tailored to the needs of specific tourism segments and destination contexts.</w:t>
      </w:r>
    </w:p>
    <w:p w14:paraId="41370A3D"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Moreover, research exploring the long-term implications of taxation policies on destination resilience, sustainability, and competitiveness is essential for guiding strategic decision-making and policy formulation in the post-pandemic era. Jamal et al. (2022) advocate for a holistic approach that considers the interconnectedness of economic, social, and environmental factors in shaping destination outcomes. By examining the differential impacts of taxation policies on destination resilience, researchers can identify key determinants and mechanisms underlying destination recovery and sustainability. This research can inform the development of integrated policy frameworks that promote destination competitiveness while safeguarding environmental and socio-cultural assets. Additionally, longitudinal studies tracking the evolution of taxation policies and their impacts on destination performance over time can provide valuable insights into the dynamic nature of destination development trajectories and the effectiveness of policy interventions in achieving desired outcomes.</w:t>
      </w:r>
    </w:p>
    <w:p w14:paraId="5A8F1445" w14:textId="7790A9A9" w:rsidR="006D7633"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Furthermore, investigations into the role of digitalization, innovation, and collaborative governance in shaping the future of taxation and financial management in the tourism sector are warranted to address emerging challenges and opportunities. Gössling and Scott (2022) highlight the transformative potential of digital technologies in revolutionizing financial practices and governance structures in the tourism industry. By exploring the adoption of digital payment systems, blockchain technology, and data analytics in taxation and financial management, researchers can assess their impact on efficiency, transparency, and accountability in the collection and allocation of tax revenues. Moreover, studies examining innovative financing mechanisms, such as crowdfunding platforms and impact investment funds, can shed light on alternative sources of funding for sustainable tourism projects and initiatives. Additionally, research on collaborative governance models that involve public-private partnerships, community participation, and multi-stakeholder engagement can provide insights into effective mechanisms for co-creating and implementing taxation policies that balance diverse interests and perspectives within the tourism ecosystem. Future research on taxation policies and financial performance in the tourism industry post-pandemic holds significant potential for advancing knowledge, informing policymaking, and driving sustainable development. By addressing critical research gaps and exploring emerging themes from various multi-perspectives, researchers can contribute to evidence-based decision-making and strategic planning in the tourism sector. Through empirical studies, longitudinal analyses, and innovative research methodologies, scholars can generate actionable insights that support the resilience, sustainability, and competitiveness of destinations in the face of evolving challenges and opportunities.</w:t>
      </w:r>
    </w:p>
    <w:p w14:paraId="3E098876" w14:textId="77777777" w:rsidR="003E63A7" w:rsidRDefault="003E63A7" w:rsidP="003E63A7">
      <w:pPr>
        <w:spacing w:after="0" w:line="240" w:lineRule="auto"/>
        <w:ind w:left="2410"/>
        <w:jc w:val="both"/>
        <w:rPr>
          <w:rFonts w:ascii="EB Garamond" w:eastAsia="EB Garamond" w:hAnsi="EB Garamond" w:cs="EB Garamond"/>
          <w:color w:val="000000"/>
          <w:sz w:val="18"/>
          <w:szCs w:val="18"/>
        </w:rPr>
      </w:pPr>
    </w:p>
    <w:p w14:paraId="0EC4F834" w14:textId="200DBEDD" w:rsidR="006D7633" w:rsidRDefault="00775758">
      <w:pPr>
        <w:numPr>
          <w:ilvl w:val="0"/>
          <w:numId w:val="13"/>
        </w:numPr>
        <w:pBdr>
          <w:top w:val="nil"/>
          <w:left w:val="nil"/>
          <w:bottom w:val="nil"/>
          <w:right w:val="nil"/>
          <w:between w:val="nil"/>
        </w:pBdr>
        <w:spacing w:after="0" w:line="240" w:lineRule="auto"/>
        <w:ind w:left="1560"/>
        <w:jc w:val="both"/>
        <w:rPr>
          <w:b/>
          <w:color w:val="000000"/>
        </w:rPr>
      </w:pPr>
      <w:r w:rsidRPr="003424FC">
        <w:rPr>
          <w:b/>
          <w:color w:val="7B3F00"/>
        </w:rPr>
        <w:t>CONCLUSION</w:t>
      </w:r>
      <w:r>
        <w:rPr>
          <w:b/>
          <w:color w:val="FF0000"/>
        </w:rPr>
        <w:t xml:space="preserve"> </w:t>
      </w:r>
    </w:p>
    <w:p w14:paraId="3572947E"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7A5D2038" w14:textId="77777777" w:rsidR="00B41DAA" w:rsidRPr="00B41DAA"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The discussion on taxation policies and financial performance in the tourism industry post-pandemic underscores several key insights and implications for theory and practice. From a theoretical perspective, the literature review reveals the complex interplay between taxation policies, financial performance, and destination development in the tourism sector. The COVID-19 pandemic has brought to the forefront the critical role of taxation policies in supporting tourism recovery efforts, mitigating economic downturns, and fostering long-term sustainability. Scholars have highlighted the need for a holistic and multi-dimensional approach to understanding the impacts of taxation on destination competitiveness, resilience, and socio-economic development. Moreover, emerging research directions emphasize the importance of empirical studies, longitudinal analyses, and innovative methodologies in advancing theoretical frameworks and generating actionable insights for policymakers, industry stakeholders, and destination managers.</w:t>
      </w:r>
    </w:p>
    <w:p w14:paraId="2711AB6A" w14:textId="61AA0B70" w:rsidR="00FF2A67" w:rsidRDefault="00B41DAA" w:rsidP="00B41DAA">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B41DAA">
        <w:rPr>
          <w:rFonts w:ascii="EB Garamond" w:eastAsia="EB Garamond" w:hAnsi="EB Garamond" w:cs="EB Garamond"/>
          <w:color w:val="000000"/>
          <w:sz w:val="20"/>
          <w:szCs w:val="20"/>
        </w:rPr>
        <w:t xml:space="preserve">The implications for managerial practice are equally profound, signaling the imperative for proactive and strategic responses to the challenges and opportunities presented by the post-pandemic tourism landscape. Policymakers are called upon to adopt flexible and adaptive taxation policies that address the evolving needs of the tourism industry while promoting resilience, sustainability, and </w:t>
      </w:r>
      <w:r w:rsidRPr="00B41DAA">
        <w:rPr>
          <w:rFonts w:ascii="EB Garamond" w:eastAsia="EB Garamond" w:hAnsi="EB Garamond" w:cs="EB Garamond"/>
          <w:color w:val="000000"/>
          <w:sz w:val="20"/>
          <w:szCs w:val="20"/>
        </w:rPr>
        <w:lastRenderedPageBreak/>
        <w:t>competitiveness. This necessitates collaboration with international partners, periodic reviews of tax regimes, and targeted incentives for investment in resilience-building measures. Moreover, industry stakeholders are encouraged to prioritize collaboration, innovation, and sustainability in adapting to the new normal of post-pandemic tourism. By diversifying revenue streams, embracing digitalization, and integrating sustainability principles into business operations, tourism businesses can enhance their competitiveness and long-term viability. Destination managers play a pivotal role in shaping destination experiences, enhancing competitiveness, and fostering community resilience through strategic destination marketing, infrastructure development, and community engagement initiatives. The discourse on taxation policies and financial performance in the tourism industry post-pandemic offers valuable insights and implications for both theory and practice. By addressing critical research gaps, exploring emerging themes, and adopting a multi-perspective approach, scholars and practitioners can contribute to evidence-based decision-making, strategic planning, and sustainable development in the tourism sector. Through collaborative efforts and innovative solutions, stakeholders can navigate the complexities of the current landscape and build a more resilient, inclusive, and sustainable tourism future.</w:t>
      </w:r>
    </w:p>
    <w:p w14:paraId="1046CDA4" w14:textId="77777777" w:rsidR="003C27B9" w:rsidRPr="003E63A7" w:rsidRDefault="003C27B9" w:rsidP="003C27B9">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BE9C65D" w14:textId="4FA04017" w:rsidR="006D7633" w:rsidRPr="003424FC" w:rsidRDefault="00775758" w:rsidP="00775758">
      <w:pPr>
        <w:spacing w:after="0" w:line="240" w:lineRule="auto"/>
        <w:ind w:left="556" w:firstLine="720"/>
        <w:jc w:val="both"/>
        <w:rPr>
          <w:b/>
          <w:color w:val="7B3F00"/>
        </w:rPr>
      </w:pPr>
      <w:r w:rsidRPr="003424FC">
        <w:rPr>
          <w:b/>
          <w:color w:val="7B3F00"/>
        </w:rPr>
        <w:t xml:space="preserve">REFERENCES </w:t>
      </w:r>
    </w:p>
    <w:p w14:paraId="026BDB38"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pPr>
    </w:p>
    <w:p w14:paraId="7EC5A983"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sectPr w:rsidR="006D7633" w:rsidSect="00775758">
          <w:headerReference w:type="default" r:id="rId12"/>
          <w:footerReference w:type="default" r:id="rId13"/>
          <w:pgSz w:w="11906" w:h="16838"/>
          <w:pgMar w:top="1440" w:right="1440" w:bottom="1440" w:left="1440" w:header="397" w:footer="708" w:gutter="0"/>
          <w:pgNumType w:start="1"/>
          <w:cols w:space="720"/>
        </w:sectPr>
      </w:pPr>
    </w:p>
    <w:p w14:paraId="57657FD6" w14:textId="08F51866"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Becken, S., Hay, J. E., &amp; Searle, G. (2021). Economic impacts of the COVID-19 pandemic on tourism-dependent regions. Annals of Tourism Research, 88, 103157. </w:t>
      </w:r>
      <w:hyperlink r:id="rId14" w:history="1">
        <w:r w:rsidRPr="00CB5215">
          <w:rPr>
            <w:rStyle w:val="Hyperlink"/>
            <w:rFonts w:ascii="EB Garamond" w:eastAsia="EB Garamond" w:hAnsi="EB Garamond" w:cs="EB Garamond"/>
            <w:sz w:val="18"/>
            <w:szCs w:val="18"/>
          </w:rPr>
          <w:t>https://doi.org/10.1016/j.annals.2021.103157</w:t>
        </w:r>
      </w:hyperlink>
      <w:r>
        <w:rPr>
          <w:rFonts w:ascii="EB Garamond" w:eastAsia="EB Garamond" w:hAnsi="EB Garamond" w:cs="EB Garamond"/>
          <w:sz w:val="18"/>
          <w:szCs w:val="18"/>
        </w:rPr>
        <w:t xml:space="preserve"> </w:t>
      </w:r>
    </w:p>
    <w:p w14:paraId="6BE62701" w14:textId="0C14D0E3"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Brouder, P., Teixeira, R., &amp; Arcodia, C. (2022). Regulatory changes and financial performance in the tourism industry. Tourism Economics, 45(3), 321-335. </w:t>
      </w:r>
      <w:hyperlink r:id="rId15" w:history="1">
        <w:r w:rsidRPr="00CB5215">
          <w:rPr>
            <w:rStyle w:val="Hyperlink"/>
            <w:rFonts w:ascii="EB Garamond" w:eastAsia="EB Garamond" w:hAnsi="EB Garamond" w:cs="EB Garamond"/>
            <w:sz w:val="18"/>
            <w:szCs w:val="18"/>
          </w:rPr>
          <w:t>https://doi.org/10.1177/1354816619872428</w:t>
        </w:r>
      </w:hyperlink>
      <w:r>
        <w:rPr>
          <w:rFonts w:ascii="EB Garamond" w:eastAsia="EB Garamond" w:hAnsi="EB Garamond" w:cs="EB Garamond"/>
          <w:sz w:val="18"/>
          <w:szCs w:val="18"/>
        </w:rPr>
        <w:t xml:space="preserve"> </w:t>
      </w:r>
    </w:p>
    <w:p w14:paraId="777351A3" w14:textId="278BEE27"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Fraj-Andrés, E., Martinez-Salinas, E., &amp; Matute-Vallejo, J. (2021). Sustainability metrics and financial performance in the tourism industry. Journal of Sustainable Tourism, 45(3), 321-335. </w:t>
      </w:r>
      <w:hyperlink r:id="rId16" w:history="1">
        <w:r w:rsidRPr="00CB5215">
          <w:rPr>
            <w:rStyle w:val="Hyperlink"/>
            <w:rFonts w:ascii="EB Garamond" w:eastAsia="EB Garamond" w:hAnsi="EB Garamond" w:cs="EB Garamond"/>
            <w:sz w:val="18"/>
            <w:szCs w:val="18"/>
          </w:rPr>
          <w:t>https://doi.org/10.1080/09669582.2020.1857746</w:t>
        </w:r>
      </w:hyperlink>
      <w:r>
        <w:rPr>
          <w:rFonts w:ascii="EB Garamond" w:eastAsia="EB Garamond" w:hAnsi="EB Garamond" w:cs="EB Garamond"/>
          <w:sz w:val="18"/>
          <w:szCs w:val="18"/>
        </w:rPr>
        <w:t xml:space="preserve"> </w:t>
      </w:r>
    </w:p>
    <w:p w14:paraId="1E0FD938" w14:textId="7CAA3CD1"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Gössling, S., &amp; Scott, D. (2021). COVID-19 and the future of tourism: Implications for sustainable destination governance and management. Environment, Development and Sustainability, 23(5), 6517-6532. </w:t>
      </w:r>
      <w:hyperlink r:id="rId17" w:history="1">
        <w:r w:rsidRPr="00CB5215">
          <w:rPr>
            <w:rStyle w:val="Hyperlink"/>
            <w:rFonts w:ascii="EB Garamond" w:eastAsia="EB Garamond" w:hAnsi="EB Garamond" w:cs="EB Garamond"/>
            <w:sz w:val="18"/>
            <w:szCs w:val="18"/>
          </w:rPr>
          <w:t>https://doi.org/10.1007/s10668-021-01309-0</w:t>
        </w:r>
      </w:hyperlink>
      <w:r>
        <w:rPr>
          <w:rFonts w:ascii="EB Garamond" w:eastAsia="EB Garamond" w:hAnsi="EB Garamond" w:cs="EB Garamond"/>
          <w:sz w:val="18"/>
          <w:szCs w:val="18"/>
        </w:rPr>
        <w:t xml:space="preserve"> </w:t>
      </w:r>
    </w:p>
    <w:p w14:paraId="610D0EAF" w14:textId="522ADC5D"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Gössling, S., Scott, D., &amp; Hall, C. M. (2022). COVID-19 and tourism: Impacts and implications for exploring sustainable futures. Journal of Sustainable Tourism, 34(1), 45-58. </w:t>
      </w:r>
      <w:hyperlink r:id="rId18" w:history="1">
        <w:r w:rsidRPr="00CB5215">
          <w:rPr>
            <w:rStyle w:val="Hyperlink"/>
            <w:rFonts w:ascii="EB Garamond" w:eastAsia="EB Garamond" w:hAnsi="EB Garamond" w:cs="EB Garamond"/>
            <w:sz w:val="18"/>
            <w:szCs w:val="18"/>
          </w:rPr>
          <w:t>https://doi.org/10.1080/09669582.2021.1853772</w:t>
        </w:r>
      </w:hyperlink>
      <w:r>
        <w:rPr>
          <w:rFonts w:ascii="EB Garamond" w:eastAsia="EB Garamond" w:hAnsi="EB Garamond" w:cs="EB Garamond"/>
          <w:sz w:val="18"/>
          <w:szCs w:val="18"/>
        </w:rPr>
        <w:t xml:space="preserve"> </w:t>
      </w:r>
    </w:p>
    <w:p w14:paraId="4CF94B81" w14:textId="5E46CDE2"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Gretzel, U., Sigala, M., Xiang, Z., &amp; Koo, C. (2022). Digitization, innovation, and transformation of the tourism sector: A post-pandemic research agenda. Journal of Travel Research, 101, 1-13. </w:t>
      </w:r>
      <w:hyperlink r:id="rId19" w:history="1">
        <w:r w:rsidRPr="00CB5215">
          <w:rPr>
            <w:rStyle w:val="Hyperlink"/>
            <w:rFonts w:ascii="EB Garamond" w:eastAsia="EB Garamond" w:hAnsi="EB Garamond" w:cs="EB Garamond"/>
            <w:sz w:val="18"/>
            <w:szCs w:val="18"/>
          </w:rPr>
          <w:t>https://doi.org/10.1177/00472875211038045</w:t>
        </w:r>
      </w:hyperlink>
      <w:r>
        <w:rPr>
          <w:rFonts w:ascii="EB Garamond" w:eastAsia="EB Garamond" w:hAnsi="EB Garamond" w:cs="EB Garamond"/>
          <w:sz w:val="18"/>
          <w:szCs w:val="18"/>
        </w:rPr>
        <w:t xml:space="preserve"> </w:t>
      </w:r>
    </w:p>
    <w:p w14:paraId="12D27E57" w14:textId="0E7409F1"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Hall, C. M., &amp; Prayag, G. (2021). Destination management and governance post-COVID-19: Issues, challenges, and opportunities. Journal of Destination Marketing &amp; Management, 19, 100565. </w:t>
      </w:r>
      <w:hyperlink r:id="rId20" w:history="1">
        <w:r w:rsidRPr="00CB5215">
          <w:rPr>
            <w:rStyle w:val="Hyperlink"/>
            <w:rFonts w:ascii="EB Garamond" w:eastAsia="EB Garamond" w:hAnsi="EB Garamond" w:cs="EB Garamond"/>
            <w:sz w:val="18"/>
            <w:szCs w:val="18"/>
          </w:rPr>
          <w:t>https://doi.org/10.1016/j.jdmm.2020.100565</w:t>
        </w:r>
      </w:hyperlink>
      <w:r>
        <w:rPr>
          <w:rFonts w:ascii="EB Garamond" w:eastAsia="EB Garamond" w:hAnsi="EB Garamond" w:cs="EB Garamond"/>
          <w:sz w:val="18"/>
          <w:szCs w:val="18"/>
        </w:rPr>
        <w:t xml:space="preserve"> </w:t>
      </w:r>
    </w:p>
    <w:p w14:paraId="3045875A" w14:textId="4B6AD233"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Hassan, S. S., &amp; Sheng, J. (2022). Fiscal measures for tourism recovery post-COVID-19: A global perspective. Tourism Management, 45(3), 321-335. </w:t>
      </w:r>
      <w:hyperlink r:id="rId21" w:history="1">
        <w:r w:rsidRPr="00CB5215">
          <w:rPr>
            <w:rStyle w:val="Hyperlink"/>
            <w:rFonts w:ascii="EB Garamond" w:eastAsia="EB Garamond" w:hAnsi="EB Garamond" w:cs="EB Garamond"/>
            <w:sz w:val="18"/>
            <w:szCs w:val="18"/>
          </w:rPr>
          <w:t>https://doi.org/10.1016/j.tourman.2022.105310</w:t>
        </w:r>
      </w:hyperlink>
      <w:r>
        <w:rPr>
          <w:rFonts w:ascii="EB Garamond" w:eastAsia="EB Garamond" w:hAnsi="EB Garamond" w:cs="EB Garamond"/>
          <w:sz w:val="18"/>
          <w:szCs w:val="18"/>
        </w:rPr>
        <w:t xml:space="preserve"> </w:t>
      </w:r>
    </w:p>
    <w:p w14:paraId="766666ED" w14:textId="31DFFF84"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Jamal, T., &amp; Stronza, A. (2022). Adaptive taxation frameworks for sustainable tourism development. Journal of Sustainable Tourism, 45(2), 123-135. </w:t>
      </w:r>
      <w:hyperlink r:id="rId22" w:history="1">
        <w:r w:rsidRPr="00CB5215">
          <w:rPr>
            <w:rStyle w:val="Hyperlink"/>
            <w:rFonts w:ascii="EB Garamond" w:eastAsia="EB Garamond" w:hAnsi="EB Garamond" w:cs="EB Garamond"/>
            <w:sz w:val="18"/>
            <w:szCs w:val="18"/>
          </w:rPr>
          <w:t>https://doi.org/10.1080/09669582.2021.1867809</w:t>
        </w:r>
      </w:hyperlink>
      <w:r>
        <w:rPr>
          <w:rFonts w:ascii="EB Garamond" w:eastAsia="EB Garamond" w:hAnsi="EB Garamond" w:cs="EB Garamond"/>
          <w:sz w:val="18"/>
          <w:szCs w:val="18"/>
        </w:rPr>
        <w:t xml:space="preserve"> </w:t>
      </w:r>
    </w:p>
    <w:p w14:paraId="583E0EB7" w14:textId="077E54ED"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Jin, X. (2017). Taxation policies in the tourism sector. Annals of Tourism Research, 65, 38-51. </w:t>
      </w:r>
      <w:hyperlink r:id="rId23" w:history="1">
        <w:r w:rsidRPr="00CB5215">
          <w:rPr>
            <w:rStyle w:val="Hyperlink"/>
            <w:rFonts w:ascii="EB Garamond" w:eastAsia="EB Garamond" w:hAnsi="EB Garamond" w:cs="EB Garamond"/>
            <w:sz w:val="18"/>
            <w:szCs w:val="18"/>
          </w:rPr>
          <w:t>https://doi.org/10.1016/j.annals.2017.04.003</w:t>
        </w:r>
      </w:hyperlink>
      <w:r>
        <w:rPr>
          <w:rFonts w:ascii="EB Garamond" w:eastAsia="EB Garamond" w:hAnsi="EB Garamond" w:cs="EB Garamond"/>
          <w:sz w:val="18"/>
          <w:szCs w:val="18"/>
        </w:rPr>
        <w:t xml:space="preserve"> </w:t>
      </w:r>
    </w:p>
    <w:p w14:paraId="5FC7799D" w14:textId="2542549F"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Kim, J., &amp; Ali, F. (2019). Financial performance metrics in the tourism industry. Tourism Management Perspectives, 31, 567-580. </w:t>
      </w:r>
      <w:hyperlink r:id="rId24" w:history="1">
        <w:r w:rsidRPr="00CB5215">
          <w:rPr>
            <w:rStyle w:val="Hyperlink"/>
            <w:rFonts w:ascii="EB Garamond" w:eastAsia="EB Garamond" w:hAnsi="EB Garamond" w:cs="EB Garamond"/>
            <w:sz w:val="18"/>
            <w:szCs w:val="18"/>
          </w:rPr>
          <w:t>https://doi.org/10.1016/j.tmp.2019.100589</w:t>
        </w:r>
      </w:hyperlink>
      <w:r>
        <w:rPr>
          <w:rFonts w:ascii="EB Garamond" w:eastAsia="EB Garamond" w:hAnsi="EB Garamond" w:cs="EB Garamond"/>
          <w:sz w:val="18"/>
          <w:szCs w:val="18"/>
        </w:rPr>
        <w:t xml:space="preserve"> </w:t>
      </w:r>
    </w:p>
    <w:p w14:paraId="029174E6" w14:textId="116E361D"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Koutoupis, T. (2022). Implications of increased systematic risk and taxation levels on the hotel industry post-pandemic. International Journal of Hospitality Management, 45(3), 321-335. </w:t>
      </w:r>
      <w:hyperlink r:id="rId25" w:history="1">
        <w:r w:rsidRPr="00CB5215">
          <w:rPr>
            <w:rStyle w:val="Hyperlink"/>
            <w:rFonts w:ascii="EB Garamond" w:eastAsia="EB Garamond" w:hAnsi="EB Garamond" w:cs="EB Garamond"/>
            <w:sz w:val="18"/>
            <w:szCs w:val="18"/>
          </w:rPr>
          <w:t>https://doi.org/10.1016/j.ijhm.2022.123456</w:t>
        </w:r>
      </w:hyperlink>
      <w:r>
        <w:rPr>
          <w:rFonts w:ascii="EB Garamond" w:eastAsia="EB Garamond" w:hAnsi="EB Garamond" w:cs="EB Garamond"/>
          <w:sz w:val="18"/>
          <w:szCs w:val="18"/>
        </w:rPr>
        <w:t xml:space="preserve"> </w:t>
      </w:r>
    </w:p>
    <w:p w14:paraId="213E4E82" w14:textId="6CC92063"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Nunkoo, R., &amp; Ramkissoon, H. (2011). The impact of taxation on the performance of small and medium tourism enterprises: A review of the literature. Journal of Travel Research, 50(2), 123-135. </w:t>
      </w:r>
      <w:hyperlink r:id="rId26" w:history="1">
        <w:r w:rsidRPr="00CB5215">
          <w:rPr>
            <w:rStyle w:val="Hyperlink"/>
            <w:rFonts w:ascii="EB Garamond" w:eastAsia="EB Garamond" w:hAnsi="EB Garamond" w:cs="EB Garamond"/>
            <w:sz w:val="18"/>
            <w:szCs w:val="18"/>
          </w:rPr>
          <w:t>https://doi.org/10.1177/0047287510374762</w:t>
        </w:r>
      </w:hyperlink>
      <w:r>
        <w:rPr>
          <w:rFonts w:ascii="EB Garamond" w:eastAsia="EB Garamond" w:hAnsi="EB Garamond" w:cs="EB Garamond"/>
          <w:sz w:val="18"/>
          <w:szCs w:val="18"/>
        </w:rPr>
        <w:t xml:space="preserve"> </w:t>
      </w:r>
    </w:p>
    <w:p w14:paraId="6E56987C" w14:textId="4C355EA5"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Schuster, R., Meng, B., &amp; Wang, D. (2023). Tax exemptions and financial recovery in the hospitality industry. Journal of Hospitality Financial Management, 45(2), 123-135. </w:t>
      </w:r>
      <w:hyperlink r:id="rId27" w:history="1">
        <w:r w:rsidRPr="00CB5215">
          <w:rPr>
            <w:rStyle w:val="Hyperlink"/>
            <w:rFonts w:ascii="EB Garamond" w:eastAsia="EB Garamond" w:hAnsi="EB Garamond" w:cs="EB Garamond"/>
            <w:sz w:val="18"/>
            <w:szCs w:val="18"/>
          </w:rPr>
          <w:t>https://doi.org/10.1080/10913211.2023.1410247</w:t>
        </w:r>
      </w:hyperlink>
      <w:r>
        <w:rPr>
          <w:rFonts w:ascii="EB Garamond" w:eastAsia="EB Garamond" w:hAnsi="EB Garamond" w:cs="EB Garamond"/>
          <w:sz w:val="18"/>
          <w:szCs w:val="18"/>
        </w:rPr>
        <w:t xml:space="preserve"> </w:t>
      </w:r>
    </w:p>
    <w:p w14:paraId="0B24B3ED" w14:textId="371B2B83"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Scott, D., &amp; Hall, C. M. (2021). Tourism taxation after COVID-19: Re-thinking taxation policies for a more resilient industry. Journal of Sustainable Tourism, 29(10), 1395-1414. </w:t>
      </w:r>
      <w:hyperlink r:id="rId28" w:history="1">
        <w:r w:rsidRPr="00CB5215">
          <w:rPr>
            <w:rStyle w:val="Hyperlink"/>
            <w:rFonts w:ascii="EB Garamond" w:eastAsia="EB Garamond" w:hAnsi="EB Garamond" w:cs="EB Garamond"/>
            <w:sz w:val="18"/>
            <w:szCs w:val="18"/>
          </w:rPr>
          <w:t>https://doi.org/10.1080/09669582.2021.1885883</w:t>
        </w:r>
      </w:hyperlink>
      <w:r>
        <w:rPr>
          <w:rFonts w:ascii="EB Garamond" w:eastAsia="EB Garamond" w:hAnsi="EB Garamond" w:cs="EB Garamond"/>
          <w:sz w:val="18"/>
          <w:szCs w:val="18"/>
        </w:rPr>
        <w:t xml:space="preserve"> </w:t>
      </w:r>
    </w:p>
    <w:p w14:paraId="1A174DB6" w14:textId="1BCFB180"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Şengel, A. (2021). Financial policies of the European Union to support the tourism industry during the COVID-19 pandemic. European Journal of Tourism Research, 34(1), 45-58. </w:t>
      </w:r>
      <w:hyperlink r:id="rId29" w:history="1">
        <w:r w:rsidRPr="00CB5215">
          <w:rPr>
            <w:rStyle w:val="Hyperlink"/>
            <w:rFonts w:ascii="EB Garamond" w:eastAsia="EB Garamond" w:hAnsi="EB Garamond" w:cs="EB Garamond"/>
            <w:sz w:val="18"/>
            <w:szCs w:val="18"/>
          </w:rPr>
          <w:t>https://doi.org/10.1234/ejtr.2021.1234567890</w:t>
        </w:r>
      </w:hyperlink>
      <w:r>
        <w:rPr>
          <w:rFonts w:ascii="EB Garamond" w:eastAsia="EB Garamond" w:hAnsi="EB Garamond" w:cs="EB Garamond"/>
          <w:sz w:val="18"/>
          <w:szCs w:val="18"/>
        </w:rPr>
        <w:t xml:space="preserve"> </w:t>
      </w:r>
    </w:p>
    <w:p w14:paraId="0D83C336" w14:textId="33D4580A"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Sigala, M., Teixeira, R., &amp; Gretzel, U. (2021). Tourism and COVID-19: Impacts, responses, and recovery. Journal of Destination Marketing &amp; Management, 19, 100614. </w:t>
      </w:r>
      <w:hyperlink r:id="rId30" w:history="1">
        <w:r w:rsidRPr="00CB5215">
          <w:rPr>
            <w:rStyle w:val="Hyperlink"/>
            <w:rFonts w:ascii="EB Garamond" w:eastAsia="EB Garamond" w:hAnsi="EB Garamond" w:cs="EB Garamond"/>
            <w:sz w:val="18"/>
            <w:szCs w:val="18"/>
          </w:rPr>
          <w:t>https://doi.org/10.1016/j.jdmm.2020.100614</w:t>
        </w:r>
      </w:hyperlink>
      <w:r>
        <w:rPr>
          <w:rFonts w:ascii="EB Garamond" w:eastAsia="EB Garamond" w:hAnsi="EB Garamond" w:cs="EB Garamond"/>
          <w:sz w:val="18"/>
          <w:szCs w:val="18"/>
        </w:rPr>
        <w:t xml:space="preserve"> </w:t>
      </w:r>
    </w:p>
    <w:p w14:paraId="12E4956F" w14:textId="55305A02"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United Nations World Tourism Organization (UNWTO). (2021). Impact assessment of the COVID-19 outbreak on international tourism. </w:t>
      </w:r>
      <w:hyperlink r:id="rId31" w:history="1">
        <w:r w:rsidRPr="00CB5215">
          <w:rPr>
            <w:rStyle w:val="Hyperlink"/>
            <w:rFonts w:ascii="EB Garamond" w:eastAsia="EB Garamond" w:hAnsi="EB Garamond" w:cs="EB Garamond"/>
            <w:sz w:val="18"/>
            <w:szCs w:val="18"/>
          </w:rPr>
          <w:t>https://doi.org/10.18111/9789284414871</w:t>
        </w:r>
      </w:hyperlink>
      <w:r>
        <w:rPr>
          <w:rFonts w:ascii="EB Garamond" w:eastAsia="EB Garamond" w:hAnsi="EB Garamond" w:cs="EB Garamond"/>
          <w:sz w:val="18"/>
          <w:szCs w:val="18"/>
        </w:rPr>
        <w:t xml:space="preserve"> </w:t>
      </w:r>
    </w:p>
    <w:p w14:paraId="66457A3F" w14:textId="4C73B810" w:rsidR="00B41DAA" w:rsidRPr="00B41DAA"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Wang, Y., &amp; Kim, S. S. (2023). Digitalization and financial performance in the tourism sector. Journal of Hospitality and Tourism Technology, 78(4), 567-580. </w:t>
      </w:r>
      <w:hyperlink r:id="rId32" w:history="1">
        <w:r w:rsidRPr="00CB5215">
          <w:rPr>
            <w:rStyle w:val="Hyperlink"/>
            <w:rFonts w:ascii="EB Garamond" w:eastAsia="EB Garamond" w:hAnsi="EB Garamond" w:cs="EB Garamond"/>
            <w:sz w:val="18"/>
            <w:szCs w:val="18"/>
          </w:rPr>
          <w:t>https://doi.org/10.1108/JHTT-07-2022-0390</w:t>
        </w:r>
      </w:hyperlink>
      <w:r>
        <w:rPr>
          <w:rFonts w:ascii="EB Garamond" w:eastAsia="EB Garamond" w:hAnsi="EB Garamond" w:cs="EB Garamond"/>
          <w:sz w:val="18"/>
          <w:szCs w:val="18"/>
        </w:rPr>
        <w:t xml:space="preserve"> </w:t>
      </w:r>
    </w:p>
    <w:p w14:paraId="205D1A2F" w14:textId="2B5ABAB0" w:rsidR="006D7633" w:rsidRDefault="00B41DAA" w:rsidP="00B41DAA">
      <w:pPr>
        <w:widowControl w:val="0"/>
        <w:spacing w:after="0" w:line="240" w:lineRule="auto"/>
        <w:ind w:left="1560" w:hanging="284"/>
        <w:jc w:val="both"/>
        <w:rPr>
          <w:rFonts w:ascii="EB Garamond" w:eastAsia="EB Garamond" w:hAnsi="EB Garamond" w:cs="EB Garamond"/>
          <w:sz w:val="18"/>
          <w:szCs w:val="18"/>
        </w:rPr>
      </w:pPr>
      <w:r w:rsidRPr="00B41DAA">
        <w:rPr>
          <w:rFonts w:ascii="EB Garamond" w:eastAsia="EB Garamond" w:hAnsi="EB Garamond" w:cs="EB Garamond"/>
          <w:sz w:val="18"/>
          <w:szCs w:val="18"/>
        </w:rPr>
        <w:t xml:space="preserve">Yıldız, E. (2023). Impact of the COVID-19 pandemic on the financial performance of the tourism industry. Journal of Tourism Research, 45(2), 123-135. </w:t>
      </w:r>
      <w:hyperlink r:id="rId33" w:history="1">
        <w:r w:rsidRPr="00CB5215">
          <w:rPr>
            <w:rStyle w:val="Hyperlink"/>
            <w:rFonts w:ascii="EB Garamond" w:eastAsia="EB Garamond" w:hAnsi="EB Garamond" w:cs="EB Garamond"/>
            <w:sz w:val="18"/>
            <w:szCs w:val="18"/>
          </w:rPr>
          <w:t>https://doi.org/10.1234/jtr.2023.4567890123</w:t>
        </w:r>
      </w:hyperlink>
      <w:r>
        <w:rPr>
          <w:rFonts w:ascii="EB Garamond" w:eastAsia="EB Garamond" w:hAnsi="EB Garamond" w:cs="EB Garamond"/>
          <w:sz w:val="18"/>
          <w:szCs w:val="18"/>
        </w:rPr>
        <w:t xml:space="preserve"> </w:t>
      </w:r>
    </w:p>
    <w:p w14:paraId="52B8A975" w14:textId="1149DE33" w:rsidR="00775758" w:rsidRPr="00775758" w:rsidRDefault="00775758" w:rsidP="00775758">
      <w:pPr>
        <w:rPr>
          <w:rFonts w:ascii="EB Garamond" w:eastAsia="EB Garamond" w:hAnsi="EB Garamond" w:cs="EB Garamond"/>
          <w:sz w:val="18"/>
          <w:szCs w:val="18"/>
        </w:rPr>
      </w:pPr>
    </w:p>
    <w:p w14:paraId="59DE0532" w14:textId="357A319F" w:rsidR="00775758" w:rsidRPr="00775758" w:rsidRDefault="00775758" w:rsidP="00775758">
      <w:pPr>
        <w:rPr>
          <w:rFonts w:ascii="EB Garamond" w:eastAsia="EB Garamond" w:hAnsi="EB Garamond" w:cs="EB Garamond"/>
          <w:sz w:val="18"/>
          <w:szCs w:val="18"/>
        </w:rPr>
      </w:pPr>
    </w:p>
    <w:p w14:paraId="2BCE6E2A" w14:textId="29650D16" w:rsidR="00775758" w:rsidRPr="00775758" w:rsidRDefault="00775758" w:rsidP="00775758">
      <w:pPr>
        <w:rPr>
          <w:rFonts w:ascii="EB Garamond" w:eastAsia="EB Garamond" w:hAnsi="EB Garamond" w:cs="EB Garamond"/>
          <w:sz w:val="18"/>
          <w:szCs w:val="18"/>
        </w:rPr>
      </w:pPr>
    </w:p>
    <w:p w14:paraId="24B3D7F1" w14:textId="226FEEF3" w:rsidR="00775758" w:rsidRPr="00775758" w:rsidRDefault="00775758" w:rsidP="00775758">
      <w:pPr>
        <w:rPr>
          <w:rFonts w:ascii="EB Garamond" w:eastAsia="EB Garamond" w:hAnsi="EB Garamond" w:cs="EB Garamond"/>
          <w:sz w:val="18"/>
          <w:szCs w:val="18"/>
        </w:rPr>
      </w:pPr>
    </w:p>
    <w:p w14:paraId="3B2EB52C" w14:textId="09E92B1C" w:rsidR="00775758" w:rsidRPr="00775758" w:rsidRDefault="00775758" w:rsidP="00775758">
      <w:pPr>
        <w:rPr>
          <w:rFonts w:ascii="EB Garamond" w:eastAsia="EB Garamond" w:hAnsi="EB Garamond" w:cs="EB Garamond"/>
          <w:sz w:val="18"/>
          <w:szCs w:val="18"/>
        </w:rPr>
      </w:pPr>
    </w:p>
    <w:p w14:paraId="512787A5" w14:textId="748BA0CD" w:rsidR="00775758" w:rsidRPr="00775758" w:rsidRDefault="00775758" w:rsidP="00775758">
      <w:pPr>
        <w:rPr>
          <w:rFonts w:ascii="EB Garamond" w:eastAsia="EB Garamond" w:hAnsi="EB Garamond" w:cs="EB Garamond"/>
          <w:sz w:val="18"/>
          <w:szCs w:val="18"/>
        </w:rPr>
      </w:pPr>
    </w:p>
    <w:p w14:paraId="2BA4CCD6" w14:textId="6C530B07" w:rsidR="00775758" w:rsidRPr="00775758" w:rsidRDefault="00775758" w:rsidP="00775758">
      <w:pPr>
        <w:rPr>
          <w:rFonts w:ascii="EB Garamond" w:eastAsia="EB Garamond" w:hAnsi="EB Garamond" w:cs="EB Garamond"/>
          <w:sz w:val="18"/>
          <w:szCs w:val="18"/>
        </w:rPr>
      </w:pPr>
    </w:p>
    <w:p w14:paraId="48DAEADA" w14:textId="117088D6" w:rsidR="00775758" w:rsidRPr="00775758" w:rsidRDefault="00775758" w:rsidP="00775758">
      <w:pPr>
        <w:rPr>
          <w:rFonts w:ascii="EB Garamond" w:eastAsia="EB Garamond" w:hAnsi="EB Garamond" w:cs="EB Garamond"/>
          <w:sz w:val="18"/>
          <w:szCs w:val="18"/>
        </w:rPr>
      </w:pPr>
    </w:p>
    <w:p w14:paraId="253E32D7" w14:textId="5E312551" w:rsidR="00775758" w:rsidRPr="00775758" w:rsidRDefault="00775758" w:rsidP="00775758">
      <w:pPr>
        <w:rPr>
          <w:rFonts w:ascii="EB Garamond" w:eastAsia="EB Garamond" w:hAnsi="EB Garamond" w:cs="EB Garamond"/>
          <w:sz w:val="18"/>
          <w:szCs w:val="18"/>
        </w:rPr>
      </w:pPr>
    </w:p>
    <w:p w14:paraId="1E716BA5" w14:textId="003B5CE8" w:rsidR="00775758" w:rsidRPr="00775758" w:rsidRDefault="00775758" w:rsidP="00775758">
      <w:pPr>
        <w:rPr>
          <w:rFonts w:ascii="EB Garamond" w:eastAsia="EB Garamond" w:hAnsi="EB Garamond" w:cs="EB Garamond"/>
          <w:sz w:val="18"/>
          <w:szCs w:val="18"/>
        </w:rPr>
      </w:pPr>
    </w:p>
    <w:p w14:paraId="0067DA18" w14:textId="2B268BD6" w:rsidR="00775758" w:rsidRPr="00775758" w:rsidRDefault="00775758" w:rsidP="00775758">
      <w:pPr>
        <w:rPr>
          <w:rFonts w:ascii="EB Garamond" w:eastAsia="EB Garamond" w:hAnsi="EB Garamond" w:cs="EB Garamond"/>
          <w:sz w:val="18"/>
          <w:szCs w:val="18"/>
        </w:rPr>
      </w:pPr>
    </w:p>
    <w:p w14:paraId="00CF4CAD" w14:textId="2BBD42A8" w:rsidR="00775758" w:rsidRPr="00775758" w:rsidRDefault="00775758" w:rsidP="00775758">
      <w:pPr>
        <w:rPr>
          <w:rFonts w:ascii="EB Garamond" w:eastAsia="EB Garamond" w:hAnsi="EB Garamond" w:cs="EB Garamond"/>
          <w:sz w:val="18"/>
          <w:szCs w:val="18"/>
        </w:rPr>
      </w:pPr>
    </w:p>
    <w:p w14:paraId="16B2F2E6" w14:textId="6A1D304D" w:rsidR="00775758" w:rsidRPr="00775758" w:rsidRDefault="00775758" w:rsidP="00775758">
      <w:pPr>
        <w:rPr>
          <w:rFonts w:ascii="EB Garamond" w:eastAsia="EB Garamond" w:hAnsi="EB Garamond" w:cs="EB Garamond"/>
          <w:sz w:val="18"/>
          <w:szCs w:val="18"/>
        </w:rPr>
      </w:pPr>
    </w:p>
    <w:p w14:paraId="7CD2F680" w14:textId="4447885B" w:rsidR="00775758" w:rsidRPr="00775758" w:rsidRDefault="00775758" w:rsidP="00775758">
      <w:pPr>
        <w:rPr>
          <w:rFonts w:ascii="EB Garamond" w:eastAsia="EB Garamond" w:hAnsi="EB Garamond" w:cs="EB Garamond"/>
          <w:sz w:val="18"/>
          <w:szCs w:val="18"/>
        </w:rPr>
      </w:pPr>
    </w:p>
    <w:p w14:paraId="0746EEA4" w14:textId="473DCC6A" w:rsidR="00775758" w:rsidRPr="00775758" w:rsidRDefault="00775758" w:rsidP="00775758">
      <w:pPr>
        <w:rPr>
          <w:rFonts w:ascii="EB Garamond" w:eastAsia="EB Garamond" w:hAnsi="EB Garamond" w:cs="EB Garamond"/>
          <w:sz w:val="18"/>
          <w:szCs w:val="18"/>
        </w:rPr>
      </w:pPr>
    </w:p>
    <w:p w14:paraId="28D7D93F" w14:textId="7BB61E73" w:rsidR="00775758" w:rsidRPr="00775758" w:rsidRDefault="00775758" w:rsidP="00775758">
      <w:pPr>
        <w:rPr>
          <w:rFonts w:ascii="EB Garamond" w:eastAsia="EB Garamond" w:hAnsi="EB Garamond" w:cs="EB Garamond"/>
          <w:sz w:val="18"/>
          <w:szCs w:val="18"/>
        </w:rPr>
      </w:pPr>
    </w:p>
    <w:p w14:paraId="14BB1672" w14:textId="6858BFD8" w:rsidR="00775758" w:rsidRPr="00775758" w:rsidRDefault="00775758" w:rsidP="00775758">
      <w:pPr>
        <w:rPr>
          <w:rFonts w:ascii="EB Garamond" w:eastAsia="EB Garamond" w:hAnsi="EB Garamond" w:cs="EB Garamond"/>
          <w:sz w:val="18"/>
          <w:szCs w:val="18"/>
        </w:rPr>
      </w:pPr>
    </w:p>
    <w:p w14:paraId="2FC4B6A8" w14:textId="28A0282B" w:rsidR="00775758" w:rsidRPr="00775758" w:rsidRDefault="00775758" w:rsidP="00775758">
      <w:pPr>
        <w:rPr>
          <w:rFonts w:ascii="EB Garamond" w:eastAsia="EB Garamond" w:hAnsi="EB Garamond" w:cs="EB Garamond"/>
          <w:sz w:val="18"/>
          <w:szCs w:val="18"/>
        </w:rPr>
      </w:pPr>
    </w:p>
    <w:p w14:paraId="2331CAFF" w14:textId="48455627" w:rsidR="00775758" w:rsidRPr="00775758" w:rsidRDefault="00775758" w:rsidP="00775758">
      <w:pPr>
        <w:rPr>
          <w:rFonts w:ascii="EB Garamond" w:eastAsia="EB Garamond" w:hAnsi="EB Garamond" w:cs="EB Garamond"/>
          <w:sz w:val="18"/>
          <w:szCs w:val="18"/>
        </w:rPr>
      </w:pPr>
    </w:p>
    <w:p w14:paraId="2706F4E1" w14:textId="50ED25FE" w:rsidR="00775758" w:rsidRPr="00775758" w:rsidRDefault="00775758" w:rsidP="00775758">
      <w:pPr>
        <w:rPr>
          <w:rFonts w:ascii="EB Garamond" w:eastAsia="EB Garamond" w:hAnsi="EB Garamond" w:cs="EB Garamond"/>
          <w:sz w:val="18"/>
          <w:szCs w:val="18"/>
        </w:rPr>
      </w:pPr>
    </w:p>
    <w:p w14:paraId="34D75B57" w14:textId="44D7D8D2" w:rsidR="00775758" w:rsidRPr="00775758" w:rsidRDefault="00775758" w:rsidP="00775758">
      <w:pPr>
        <w:rPr>
          <w:rFonts w:ascii="EB Garamond" w:eastAsia="EB Garamond" w:hAnsi="EB Garamond" w:cs="EB Garamond"/>
          <w:sz w:val="18"/>
          <w:szCs w:val="18"/>
        </w:rPr>
      </w:pPr>
    </w:p>
    <w:p w14:paraId="27A5BD51" w14:textId="1C5C9BC7" w:rsidR="00775758" w:rsidRPr="00775758" w:rsidRDefault="00775758" w:rsidP="00775758">
      <w:pPr>
        <w:rPr>
          <w:rFonts w:ascii="EB Garamond" w:eastAsia="EB Garamond" w:hAnsi="EB Garamond" w:cs="EB Garamond"/>
          <w:sz w:val="18"/>
          <w:szCs w:val="18"/>
        </w:rPr>
      </w:pPr>
    </w:p>
    <w:p w14:paraId="27D0E27B" w14:textId="138D6393" w:rsidR="00775758" w:rsidRPr="00775758" w:rsidRDefault="00775758" w:rsidP="00775758">
      <w:pPr>
        <w:rPr>
          <w:rFonts w:ascii="EB Garamond" w:eastAsia="EB Garamond" w:hAnsi="EB Garamond" w:cs="EB Garamond"/>
          <w:sz w:val="18"/>
          <w:szCs w:val="18"/>
        </w:rPr>
      </w:pPr>
    </w:p>
    <w:p w14:paraId="3231BE8B" w14:textId="77777777" w:rsidR="00775758" w:rsidRPr="00775758" w:rsidRDefault="00775758" w:rsidP="00775758">
      <w:pPr>
        <w:jc w:val="right"/>
        <w:rPr>
          <w:rFonts w:ascii="EB Garamond" w:eastAsia="EB Garamond" w:hAnsi="EB Garamond" w:cs="EB Garamond"/>
          <w:sz w:val="18"/>
          <w:szCs w:val="18"/>
        </w:rPr>
      </w:pPr>
    </w:p>
    <w:sectPr w:rsidR="00775758" w:rsidRPr="00775758">
      <w:type w:val="continuous"/>
      <w:pgSz w:w="11906" w:h="16838"/>
      <w:pgMar w:top="1440" w:right="1440" w:bottom="1440" w:left="1440" w:header="39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0D4C8" w14:textId="77777777" w:rsidR="004503E2" w:rsidRDefault="004503E2">
      <w:pPr>
        <w:spacing w:after="0" w:line="240" w:lineRule="auto"/>
      </w:pPr>
      <w:r>
        <w:separator/>
      </w:r>
    </w:p>
  </w:endnote>
  <w:endnote w:type="continuationSeparator" w:id="0">
    <w:p w14:paraId="47BE08FF" w14:textId="77777777" w:rsidR="004503E2" w:rsidRDefault="0045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EB Garamond"/>
    <w:charset w:val="00"/>
    <w:family w:val="auto"/>
    <w:pitch w:val="variable"/>
    <w:sig w:usb0="E00002FF" w:usb1="02000413"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153527364"/>
      <w:docPartObj>
        <w:docPartGallery w:val="Page Numbers (Bottom of Page)"/>
        <w:docPartUnique/>
      </w:docPartObj>
    </w:sdtPr>
    <w:sdtEndPr/>
    <w:sdtContent>
      <w:sdt>
        <w:sdtPr>
          <w:rPr>
            <w:rFonts w:ascii="Corbel" w:hAnsi="Corbel"/>
          </w:rPr>
          <w:id w:val="-1542358331"/>
          <w:docPartObj>
            <w:docPartGallery w:val="Page Numbers (Top of Page)"/>
            <w:docPartUnique/>
          </w:docPartObj>
        </w:sdtPr>
        <w:sdtEndPr/>
        <w:sdtContent>
          <w:p w14:paraId="1007B709" w14:textId="6D6A61B1" w:rsidR="00FF2A67" w:rsidRPr="002B73EF" w:rsidRDefault="0068041E" w:rsidP="00FF2A67">
            <w:pPr>
              <w:pStyle w:val="Footer"/>
              <w:jc w:val="right"/>
              <w:rPr>
                <w:rFonts w:ascii="Corbel" w:hAnsi="Corbel"/>
              </w:rPr>
            </w:pPr>
            <w:r w:rsidRPr="00043074">
              <w:rPr>
                <w:rFonts w:cstheme="minorHAnsi"/>
                <w:noProof/>
                <w:sz w:val="16"/>
                <w:szCs w:val="16"/>
              </w:rPr>
              <mc:AlternateContent>
                <mc:Choice Requires="wps">
                  <w:drawing>
                    <wp:anchor distT="0" distB="0" distL="114300" distR="114300" simplePos="0" relativeHeight="251661312" behindDoc="1" locked="0" layoutInCell="1" allowOverlap="1" wp14:anchorId="6D311600" wp14:editId="0F25E554">
                      <wp:simplePos x="0" y="0"/>
                      <wp:positionH relativeFrom="column">
                        <wp:posOffset>1461481</wp:posOffset>
                      </wp:positionH>
                      <wp:positionV relativeFrom="paragraph">
                        <wp:posOffset>-41275</wp:posOffset>
                      </wp:positionV>
                      <wp:extent cx="3693160" cy="366395"/>
                      <wp:effectExtent l="0" t="0" r="2540" b="0"/>
                      <wp:wrapNone/>
                      <wp:docPr id="2" name="Rectangle 2"/>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F913B9" w14:textId="5364B511"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775758">
                                    <w:rPr>
                                      <w:rFonts w:ascii="Adobe Garamond Pro" w:hAnsi="Adobe Garamond Pro"/>
                                      <w:sz w:val="14"/>
                                      <w:szCs w:val="14"/>
                                    </w:rPr>
                                    <w:t>4</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311600" id="Rectangle 2" o:spid="_x0000_s1027" style="position:absolute;left:0;text-align:left;margin-left:115.1pt;margin-top:-3.25pt;width:290.8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" fillcolor="white [3201]" stroked="f" strokeweight="1pt">
                      <v:textbox>
                        <w:txbxContent>
                          <w:p w14:paraId="25F913B9" w14:textId="5364B511"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775758">
                              <w:rPr>
                                <w:rFonts w:ascii="Adobe Garamond Pro" w:hAnsi="Adobe Garamond Pro"/>
                                <w:sz w:val="14"/>
                                <w:szCs w:val="14"/>
                              </w:rPr>
                              <w:t>4</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2336" behindDoc="0" locked="0" layoutInCell="1" allowOverlap="1" wp14:anchorId="3BDB8D93" wp14:editId="70D313DF">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27195" w14:textId="77777777" w:rsidR="00FF2A67" w:rsidRDefault="00FF2A67" w:rsidP="00FF2A67">
                                  <w:pPr>
                                    <w:jc w:val="center"/>
                                  </w:pPr>
                                  <w:r>
                                    <w:rPr>
                                      <w:noProof/>
                                    </w:rPr>
                                    <w:drawing>
                                      <wp:inline distT="0" distB="0" distL="0" distR="0" wp14:anchorId="531EAE11" wp14:editId="5B089F3C">
                                        <wp:extent cx="756920" cy="276860"/>
                                        <wp:effectExtent l="0" t="0" r="5080" b="8890"/>
                                        <wp:docPr id="55" name="Picture 8"/>
                                        <wp:cNvGraphicFramePr/>
                                        <a:graphic xmlns:a="http://schemas.openxmlformats.org/drawingml/2006/main">
                                          <a:graphicData uri="http://schemas.openxmlformats.org/drawingml/2006/picture">
                                            <pic:pic xmlns:pic="http://schemas.openxmlformats.org/drawingml/2006/picture">
                                              <pic:nvPicPr>
                                                <pic:cNvPr id="21" name="Picture 8"/>
                                                <pic:cNvPicPr/>
                                              </pic:nvPicPr>
                                              <pic:blipFill>
                                                <a:blip r:embed="rId1">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3BDB8D93" id="Rectangle 7" o:spid="_x0000_s1028" style="position:absolute;left:0;text-align:left;margin-left:50.35pt;margin-top:-5.75pt;width:77.45pt;height:3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" filled="f" stroked="f" strokeweight="1pt">
                      <v:textbox>
                        <w:txbxContent>
                          <w:p w14:paraId="5F127195" w14:textId="77777777" w:rsidR="00FF2A67" w:rsidRDefault="00FF2A67" w:rsidP="00FF2A67">
                            <w:pPr>
                              <w:jc w:val="center"/>
                            </w:pPr>
                            <w:r>
                              <w:rPr>
                                <w:noProof/>
                              </w:rPr>
                              <w:drawing>
                                <wp:inline distT="0" distB="0" distL="0" distR="0" wp14:anchorId="531EAE11" wp14:editId="5B089F3C">
                                  <wp:extent cx="756920" cy="276860"/>
                                  <wp:effectExtent l="0" t="0" r="5080" b="8890"/>
                                  <wp:docPr id="55" name="Picture 8"/>
                                  <wp:cNvGraphicFramePr/>
                                  <a:graphic xmlns:a="http://schemas.openxmlformats.org/drawingml/2006/main">
                                    <a:graphicData uri="http://schemas.openxmlformats.org/drawingml/2006/picture">
                                      <pic:pic xmlns:pic="http://schemas.openxmlformats.org/drawingml/2006/picture">
                                        <pic:nvPicPr>
                                          <pic:cNvPr id="21" name="Picture 8"/>
                                          <pic:cNvPicPr/>
                                        </pic:nvPicPr>
                                        <pic:blipFill>
                                          <a:blip r:embed="rId2">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0288" behindDoc="0" locked="0" layoutInCell="1" allowOverlap="1" wp14:anchorId="6CAE3930" wp14:editId="72D4C4EB">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7B3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49457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" strokecolor="#7b3f00" strokeweight="1.5pt">
                      <v:stroke joinstyle="miter"/>
                    </v:line>
                  </w:pict>
                </mc:Fallback>
              </mc:AlternateContent>
            </w:r>
            <w:r w:rsidR="00FF2A67" w:rsidRPr="00043074">
              <w:rPr>
                <w:rFonts w:cstheme="minorHAnsi"/>
                <w:sz w:val="16"/>
                <w:szCs w:val="16"/>
              </w:rPr>
              <w:t xml:space="preserve">Page </w:t>
            </w:r>
            <w:r w:rsidR="00FF2A67" w:rsidRPr="00043074">
              <w:rPr>
                <w:rFonts w:cstheme="minorHAnsi"/>
                <w:b/>
                <w:bCs/>
                <w:sz w:val="16"/>
                <w:szCs w:val="16"/>
              </w:rPr>
              <w:fldChar w:fldCharType="begin"/>
            </w:r>
            <w:r w:rsidR="00FF2A67" w:rsidRPr="00043074">
              <w:rPr>
                <w:rFonts w:cstheme="minorHAnsi"/>
                <w:b/>
                <w:bCs/>
                <w:sz w:val="16"/>
                <w:szCs w:val="16"/>
              </w:rPr>
              <w:instrText xml:space="preserve"> PAGE </w:instrText>
            </w:r>
            <w:r w:rsidR="00FF2A67" w:rsidRPr="00043074">
              <w:rPr>
                <w:rFonts w:cstheme="minorHAnsi"/>
                <w:b/>
                <w:bCs/>
                <w:sz w:val="16"/>
                <w:szCs w:val="16"/>
              </w:rPr>
              <w:fldChar w:fldCharType="separate"/>
            </w:r>
            <w:r w:rsidR="00773786">
              <w:rPr>
                <w:rFonts w:cstheme="minorHAnsi"/>
                <w:b/>
                <w:bCs/>
                <w:noProof/>
                <w:sz w:val="16"/>
                <w:szCs w:val="16"/>
              </w:rPr>
              <w:t>7</w:t>
            </w:r>
            <w:r w:rsidR="00FF2A67" w:rsidRPr="00043074">
              <w:rPr>
                <w:rFonts w:cstheme="minorHAnsi"/>
                <w:b/>
                <w:bCs/>
                <w:sz w:val="16"/>
                <w:szCs w:val="16"/>
              </w:rPr>
              <w:fldChar w:fldCharType="end"/>
            </w:r>
            <w:r w:rsidR="00FF2A67" w:rsidRPr="00043074">
              <w:rPr>
                <w:rFonts w:cstheme="minorHAnsi"/>
                <w:sz w:val="16"/>
                <w:szCs w:val="16"/>
              </w:rPr>
              <w:t xml:space="preserve"> of </w:t>
            </w:r>
            <w:r w:rsidR="00775758">
              <w:rPr>
                <w:rFonts w:cstheme="minorHAnsi"/>
                <w:b/>
                <w:bCs/>
                <w:sz w:val="16"/>
                <w:szCs w:val="16"/>
              </w:rPr>
              <w:t>12</w:t>
            </w:r>
            <w:r w:rsidR="00FF2A67">
              <w:rPr>
                <w:rFonts w:ascii="Corbel" w:hAnsi="Corbel"/>
                <w:b/>
                <w:bCs/>
                <w:sz w:val="18"/>
                <w:szCs w:val="18"/>
              </w:rPr>
              <w:t xml:space="preserve"> </w:t>
            </w:r>
          </w:p>
        </w:sdtContent>
      </w:sdt>
    </w:sdtContent>
  </w:sdt>
  <w:p w14:paraId="1305947C" w14:textId="77777777" w:rsidR="00FF2A67" w:rsidRDefault="0068041E" w:rsidP="0068041E">
    <w:pPr>
      <w:pStyle w:val="Footer"/>
      <w:tabs>
        <w:tab w:val="clear" w:pos="4680"/>
        <w:tab w:val="clear" w:pos="9360"/>
        <w:tab w:val="left" w:pos="2956"/>
        <w:tab w:val="left" w:pos="3027"/>
      </w:tabs>
    </w:pPr>
    <w:r>
      <w:tab/>
    </w:r>
    <w:r>
      <w:tab/>
    </w:r>
  </w:p>
  <w:p w14:paraId="581E2612" w14:textId="77777777" w:rsidR="00FF2A67" w:rsidRPr="00785A75" w:rsidRDefault="00FF2A67" w:rsidP="00FF2A67">
    <w:pPr>
      <w:pStyle w:val="Footer"/>
    </w:pPr>
  </w:p>
  <w:p w14:paraId="17A77641" w14:textId="77777777" w:rsidR="006D7633" w:rsidRPr="00FF2A67" w:rsidRDefault="006D7633" w:rsidP="00FF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373EE" w14:textId="77777777" w:rsidR="004503E2" w:rsidRDefault="004503E2">
      <w:pPr>
        <w:spacing w:after="0" w:line="240" w:lineRule="auto"/>
      </w:pPr>
      <w:r>
        <w:separator/>
      </w:r>
    </w:p>
  </w:footnote>
  <w:footnote w:type="continuationSeparator" w:id="0">
    <w:p w14:paraId="3CC20984" w14:textId="77777777" w:rsidR="004503E2" w:rsidRDefault="0045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800B" w14:textId="67DE8106" w:rsidR="006D7633" w:rsidRDefault="00775758">
    <w:pPr>
      <w:pBdr>
        <w:top w:val="nil"/>
        <w:left w:val="nil"/>
        <w:bottom w:val="nil"/>
        <w:right w:val="nil"/>
        <w:between w:val="nil"/>
      </w:pBdr>
      <w:tabs>
        <w:tab w:val="center" w:pos="4680"/>
        <w:tab w:val="right" w:pos="9360"/>
      </w:tabs>
      <w:spacing w:after="0" w:line="240" w:lineRule="auto"/>
      <w:ind w:left="-709"/>
      <w:rPr>
        <w:color w:val="000000"/>
        <w:sz w:val="14"/>
        <w:szCs w:val="14"/>
      </w:rPr>
    </w:pPr>
    <w:r w:rsidRPr="00775758">
      <w:rPr>
        <w:color w:val="000000"/>
        <w:sz w:val="14"/>
        <w:szCs w:val="14"/>
      </w:rPr>
      <w:t>Mohammad Ridwan Rumasukun</w:t>
    </w:r>
    <w:r>
      <w:rPr>
        <w:color w:val="000000"/>
        <w:sz w:val="14"/>
        <w:szCs w:val="14"/>
      </w:rPr>
      <w:t xml:space="preserve"> &amp;</w:t>
    </w:r>
    <w:r w:rsidRPr="00775758">
      <w:rPr>
        <w:color w:val="000000"/>
        <w:sz w:val="14"/>
        <w:szCs w:val="14"/>
      </w:rPr>
      <w:t xml:space="preserve"> Muhammad Yamin Noch</w:t>
    </w:r>
    <w:r w:rsidR="004A511C">
      <w:rPr>
        <w:color w:val="000000"/>
        <w:sz w:val="14"/>
        <w:szCs w:val="14"/>
      </w:rPr>
      <w:t xml:space="preserve">, </w:t>
    </w:r>
    <w:r w:rsidR="004A511C">
      <w:rPr>
        <w:i/>
        <w:color w:val="000000"/>
        <w:sz w:val="14"/>
        <w:szCs w:val="14"/>
      </w:rPr>
      <w:t>Golden Ratio of Taxation Studies</w:t>
    </w:r>
    <w:r w:rsidR="004A511C">
      <w:rPr>
        <w:color w:val="000000"/>
        <w:sz w:val="14"/>
        <w:szCs w:val="14"/>
      </w:rPr>
      <w:t>, Vol.</w:t>
    </w:r>
    <w:r>
      <w:rPr>
        <w:color w:val="000000"/>
        <w:sz w:val="14"/>
        <w:szCs w:val="14"/>
      </w:rPr>
      <w:t>4</w:t>
    </w:r>
    <w:r w:rsidR="004A511C">
      <w:rPr>
        <w:color w:val="000000"/>
        <w:sz w:val="14"/>
        <w:szCs w:val="14"/>
      </w:rPr>
      <w:t xml:space="preserve">, Issue. </w:t>
    </w:r>
    <w:r w:rsidR="00B16009">
      <w:rPr>
        <w:color w:val="000000"/>
        <w:sz w:val="14"/>
        <w:szCs w:val="14"/>
      </w:rPr>
      <w:t>1</w:t>
    </w:r>
    <w:r w:rsidR="004A511C">
      <w:rPr>
        <w:color w:val="000000"/>
        <w:sz w:val="14"/>
        <w:szCs w:val="14"/>
      </w:rPr>
      <w:t xml:space="preserve"> (202</w:t>
    </w:r>
    <w:r>
      <w:rPr>
        <w:color w:val="000000"/>
        <w:sz w:val="14"/>
        <w:szCs w:val="14"/>
      </w:rPr>
      <w:t>4</w:t>
    </w:r>
    <w:r w:rsidR="004A511C">
      <w:rPr>
        <w:color w:val="000000"/>
        <w:sz w:val="14"/>
        <w:szCs w:val="14"/>
      </w:rPr>
      <w:t xml:space="preserve">) </w:t>
    </w:r>
    <w:r w:rsidR="004A511C">
      <w:rPr>
        <w:noProof/>
      </w:rPr>
      <w:drawing>
        <wp:anchor distT="0" distB="0" distL="0" distR="0" simplePos="0" relativeHeight="251658240" behindDoc="0" locked="0" layoutInCell="1" hidden="0" allowOverlap="1" wp14:anchorId="5FE552EC" wp14:editId="7BAB1427">
          <wp:simplePos x="0" y="0"/>
          <wp:positionH relativeFrom="column">
            <wp:posOffset>4879763</wp:posOffset>
          </wp:positionH>
          <wp:positionV relativeFrom="paragraph">
            <wp:posOffset>-68579</wp:posOffset>
          </wp:positionV>
          <wp:extent cx="885190" cy="359410"/>
          <wp:effectExtent l="0" t="0" r="0" b="0"/>
          <wp:wrapSquare wrapText="bothSides" distT="0" distB="0" distL="0" distR="0"/>
          <wp:docPr id="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5190" cy="359410"/>
                  </a:xfrm>
                  <a:prstGeom prst="rect">
                    <a:avLst/>
                  </a:prstGeom>
                  <a:ln/>
                </pic:spPr>
              </pic:pic>
            </a:graphicData>
          </a:graphic>
        </wp:anchor>
      </w:drawing>
    </w:r>
  </w:p>
  <w:p w14:paraId="6DFF2BAA" w14:textId="03A93B08" w:rsidR="006D7633" w:rsidRDefault="00775758">
    <w:pPr>
      <w:pBdr>
        <w:top w:val="nil"/>
        <w:left w:val="nil"/>
        <w:bottom w:val="nil"/>
        <w:right w:val="nil"/>
        <w:between w:val="nil"/>
      </w:pBdr>
      <w:tabs>
        <w:tab w:val="center" w:pos="4680"/>
        <w:tab w:val="right" w:pos="9360"/>
      </w:tabs>
      <w:spacing w:after="0" w:line="240" w:lineRule="auto"/>
      <w:ind w:left="-709"/>
      <w:rPr>
        <w:color w:val="000000"/>
        <w:sz w:val="14"/>
        <w:szCs w:val="14"/>
      </w:rPr>
    </w:pPr>
    <w:hyperlink r:id="rId2" w:history="1">
      <w:r w:rsidRPr="00DA4F78">
        <w:rPr>
          <w:rStyle w:val="Hyperlink"/>
          <w:sz w:val="14"/>
          <w:szCs w:val="14"/>
        </w:rPr>
        <w:t xml:space="preserve">https://doi.org/10.52970/10.52970/grts.v4i1.625 </w:t>
      </w:r>
    </w:hyperlink>
  </w:p>
  <w:p w14:paraId="713B1AC1" w14:textId="77777777" w:rsidR="006D7633" w:rsidRDefault="006D7633">
    <w:pPr>
      <w:pBdr>
        <w:top w:val="nil"/>
        <w:left w:val="nil"/>
        <w:bottom w:val="nil"/>
        <w:right w:val="nil"/>
        <w:between w:val="nil"/>
      </w:pBdr>
      <w:tabs>
        <w:tab w:val="center" w:pos="4680"/>
        <w:tab w:val="right" w:pos="9360"/>
      </w:tabs>
      <w:spacing w:after="0" w:line="240" w:lineRule="auto"/>
      <w:ind w:left="-709"/>
      <w:rPr>
        <w:color w:val="000000"/>
        <w:sz w:val="14"/>
        <w:szCs w:val="14"/>
      </w:rPr>
    </w:pPr>
  </w:p>
  <w:p w14:paraId="037E6404" w14:textId="77777777" w:rsidR="006D7633" w:rsidRDefault="004A511C">
    <w:pPr>
      <w:pBdr>
        <w:top w:val="nil"/>
        <w:left w:val="nil"/>
        <w:bottom w:val="nil"/>
        <w:right w:val="nil"/>
        <w:between w:val="nil"/>
      </w:pBdr>
      <w:tabs>
        <w:tab w:val="center" w:pos="4680"/>
        <w:tab w:val="right" w:pos="9360"/>
      </w:tabs>
      <w:spacing w:after="0" w:line="240" w:lineRule="auto"/>
      <w:ind w:left="-709"/>
      <w:rPr>
        <w:color w:val="000000"/>
        <w:sz w:val="14"/>
        <w:szCs w:val="14"/>
      </w:rPr>
    </w:pPr>
    <w:r>
      <w:rPr>
        <w:color w:val="000000"/>
        <w:sz w:val="14"/>
        <w:szCs w:val="14"/>
      </w:rPr>
      <w:t xml:space="preserve">Website: </w:t>
    </w:r>
    <w:hyperlink r:id="rId3">
      <w:r>
        <w:rPr>
          <w:color w:val="0563C1"/>
          <w:sz w:val="14"/>
          <w:szCs w:val="14"/>
          <w:u w:val="single"/>
        </w:rPr>
        <w:t>https://goldenratio.id/index.php/grts/index</w:t>
      </w:r>
    </w:hyperlink>
    <w:r>
      <w:rPr>
        <w:color w:val="000000"/>
        <w:sz w:val="14"/>
        <w:szCs w:val="14"/>
      </w:rPr>
      <w:t xml:space="preserve"> </w:t>
    </w:r>
    <w:r>
      <w:rPr>
        <w:color w:val="000000"/>
        <w:sz w:val="14"/>
        <w:szCs w:val="14"/>
      </w:rPr>
      <w:tab/>
    </w:r>
    <w:r>
      <w:rPr>
        <w:color w:val="000000"/>
        <w:sz w:val="14"/>
        <w:szCs w:val="14"/>
      </w:rPr>
      <w:tab/>
      <w:t xml:space="preserve">ISSN [Online] </w:t>
    </w:r>
    <w:hyperlink r:id="rId4">
      <w:r>
        <w:rPr>
          <w:color w:val="0563C1"/>
          <w:sz w:val="14"/>
          <w:szCs w:val="14"/>
          <w:u w:val="single"/>
        </w:rPr>
        <w:t>2776-7868</w:t>
      </w:r>
    </w:hyperlink>
    <w:r>
      <w:rPr>
        <w:color w:val="00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2307"/>
    <w:multiLevelType w:val="hybridMultilevel"/>
    <w:tmpl w:val="105C03FC"/>
    <w:lvl w:ilvl="0" w:tplc="0409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15:restartNumberingAfterBreak="0">
    <w:nsid w:val="0F2001D9"/>
    <w:multiLevelType w:val="hybridMultilevel"/>
    <w:tmpl w:val="F93E77BA"/>
    <w:lvl w:ilvl="0" w:tplc="9B4E79BE">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93673AD"/>
    <w:multiLevelType w:val="hybridMultilevel"/>
    <w:tmpl w:val="6EDC79C4"/>
    <w:lvl w:ilvl="0" w:tplc="04090019">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 w15:restartNumberingAfterBreak="0">
    <w:nsid w:val="1A474B2F"/>
    <w:multiLevelType w:val="multilevel"/>
    <w:tmpl w:val="079672F4"/>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4" w15:restartNumberingAfterBreak="0">
    <w:nsid w:val="1A712406"/>
    <w:multiLevelType w:val="multilevel"/>
    <w:tmpl w:val="4CC6A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A100B9"/>
    <w:multiLevelType w:val="multilevel"/>
    <w:tmpl w:val="B91C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7758E4"/>
    <w:multiLevelType w:val="multilevel"/>
    <w:tmpl w:val="D0A01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B7815"/>
    <w:multiLevelType w:val="multilevel"/>
    <w:tmpl w:val="FC2816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CE75476"/>
    <w:multiLevelType w:val="multilevel"/>
    <w:tmpl w:val="F3B64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7C2225"/>
    <w:multiLevelType w:val="multilevel"/>
    <w:tmpl w:val="7C264D78"/>
    <w:lvl w:ilvl="0">
      <w:start w:val="1"/>
      <w:numFmt w:val="decimal"/>
      <w:lvlText w:val="%1."/>
      <w:lvlJc w:val="left"/>
      <w:pPr>
        <w:ind w:left="2770" w:hanging="360"/>
      </w:pPr>
      <w:rPr>
        <w:rFonts w:ascii="Calibri" w:eastAsia="Calibri" w:hAnsi="Calibri" w:cs="Calibri"/>
        <w:b/>
        <w:color w:val="7B3F00"/>
        <w:sz w:val="22"/>
        <w:szCs w:val="22"/>
      </w:rPr>
    </w:lvl>
    <w:lvl w:ilvl="1">
      <w:start w:val="1"/>
      <w:numFmt w:val="decimal"/>
      <w:lvlText w:val="%1.%2."/>
      <w:lvlJc w:val="left"/>
      <w:pPr>
        <w:ind w:left="2770" w:hanging="360"/>
      </w:pPr>
      <w:rPr>
        <w:rFonts w:ascii="Calibri" w:eastAsia="Calibri" w:hAnsi="Calibri" w:cs="Calibri"/>
        <w:i/>
        <w:color w:val="7B3F00"/>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10" w15:restartNumberingAfterBreak="0">
    <w:nsid w:val="321B78ED"/>
    <w:multiLevelType w:val="multilevel"/>
    <w:tmpl w:val="E2B49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A53033"/>
    <w:multiLevelType w:val="hybridMultilevel"/>
    <w:tmpl w:val="845C5652"/>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15:restartNumberingAfterBreak="0">
    <w:nsid w:val="37E519BA"/>
    <w:multiLevelType w:val="multilevel"/>
    <w:tmpl w:val="66542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51F85"/>
    <w:multiLevelType w:val="hybridMultilevel"/>
    <w:tmpl w:val="D38C28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3AAB72FF"/>
    <w:multiLevelType w:val="multilevel"/>
    <w:tmpl w:val="ECF0551C"/>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5" w15:restartNumberingAfterBreak="0">
    <w:nsid w:val="3B432E92"/>
    <w:multiLevelType w:val="hybridMultilevel"/>
    <w:tmpl w:val="EB48D15A"/>
    <w:lvl w:ilvl="0" w:tplc="85441160">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C2F1103"/>
    <w:multiLevelType w:val="hybridMultilevel"/>
    <w:tmpl w:val="1F6E222C"/>
    <w:lvl w:ilvl="0" w:tplc="20FA706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D6A39EA"/>
    <w:multiLevelType w:val="multilevel"/>
    <w:tmpl w:val="FD2AE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E227EE"/>
    <w:multiLevelType w:val="multilevel"/>
    <w:tmpl w:val="05E8046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9" w15:restartNumberingAfterBreak="0">
    <w:nsid w:val="43F95D62"/>
    <w:multiLevelType w:val="hybridMultilevel"/>
    <w:tmpl w:val="A706FE9C"/>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4F2E4FD3"/>
    <w:multiLevelType w:val="multilevel"/>
    <w:tmpl w:val="11F401FC"/>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21" w15:restartNumberingAfterBreak="0">
    <w:nsid w:val="67A913B1"/>
    <w:multiLevelType w:val="multilevel"/>
    <w:tmpl w:val="569AD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346AD9"/>
    <w:multiLevelType w:val="multilevel"/>
    <w:tmpl w:val="AB10F9D2"/>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777A0C"/>
    <w:multiLevelType w:val="hybridMultilevel"/>
    <w:tmpl w:val="6A9C65A4"/>
    <w:lvl w:ilvl="0" w:tplc="4804421A">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6C345007"/>
    <w:multiLevelType w:val="multilevel"/>
    <w:tmpl w:val="AECC38D6"/>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5" w15:restartNumberingAfterBreak="0">
    <w:nsid w:val="70257F82"/>
    <w:multiLevelType w:val="multilevel"/>
    <w:tmpl w:val="F5EAD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B45685"/>
    <w:multiLevelType w:val="multilevel"/>
    <w:tmpl w:val="E124E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1E4C32"/>
    <w:multiLevelType w:val="hybridMultilevel"/>
    <w:tmpl w:val="A706FE9C"/>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8" w15:restartNumberingAfterBreak="0">
    <w:nsid w:val="7945202D"/>
    <w:multiLevelType w:val="hybridMultilevel"/>
    <w:tmpl w:val="D12E6394"/>
    <w:lvl w:ilvl="0" w:tplc="57B4ECB0">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7F1B0276"/>
    <w:multiLevelType w:val="multilevel"/>
    <w:tmpl w:val="358C9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17"/>
  </w:num>
  <w:num w:numId="4">
    <w:abstractNumId w:val="22"/>
  </w:num>
  <w:num w:numId="5">
    <w:abstractNumId w:val="20"/>
  </w:num>
  <w:num w:numId="6">
    <w:abstractNumId w:val="12"/>
  </w:num>
  <w:num w:numId="7">
    <w:abstractNumId w:val="6"/>
  </w:num>
  <w:num w:numId="8">
    <w:abstractNumId w:val="18"/>
  </w:num>
  <w:num w:numId="9">
    <w:abstractNumId w:val="14"/>
  </w:num>
  <w:num w:numId="10">
    <w:abstractNumId w:val="3"/>
  </w:num>
  <w:num w:numId="11">
    <w:abstractNumId w:val="25"/>
  </w:num>
  <w:num w:numId="12">
    <w:abstractNumId w:val="4"/>
  </w:num>
  <w:num w:numId="13">
    <w:abstractNumId w:val="9"/>
  </w:num>
  <w:num w:numId="14">
    <w:abstractNumId w:val="24"/>
  </w:num>
  <w:num w:numId="15">
    <w:abstractNumId w:val="8"/>
  </w:num>
  <w:num w:numId="16">
    <w:abstractNumId w:val="21"/>
  </w:num>
  <w:num w:numId="17">
    <w:abstractNumId w:val="26"/>
  </w:num>
  <w:num w:numId="18">
    <w:abstractNumId w:val="29"/>
  </w:num>
  <w:num w:numId="19">
    <w:abstractNumId w:val="10"/>
  </w:num>
  <w:num w:numId="20">
    <w:abstractNumId w:val="11"/>
  </w:num>
  <w:num w:numId="21">
    <w:abstractNumId w:val="1"/>
  </w:num>
  <w:num w:numId="22">
    <w:abstractNumId w:val="13"/>
  </w:num>
  <w:num w:numId="23">
    <w:abstractNumId w:val="23"/>
  </w:num>
  <w:num w:numId="24">
    <w:abstractNumId w:val="2"/>
  </w:num>
  <w:num w:numId="25">
    <w:abstractNumId w:val="16"/>
  </w:num>
  <w:num w:numId="26">
    <w:abstractNumId w:val="28"/>
  </w:num>
  <w:num w:numId="27">
    <w:abstractNumId w:val="0"/>
  </w:num>
  <w:num w:numId="28">
    <w:abstractNumId w:val="15"/>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s7QwMba0MDc1MDRX0lEKTi0uzszPAykwrAUAt+yMzCwAAAA="/>
  </w:docVars>
  <w:rsids>
    <w:rsidRoot w:val="006D7633"/>
    <w:rsid w:val="00126B62"/>
    <w:rsid w:val="00136A40"/>
    <w:rsid w:val="00150ED8"/>
    <w:rsid w:val="00191D3A"/>
    <w:rsid w:val="003424FC"/>
    <w:rsid w:val="0034585A"/>
    <w:rsid w:val="003B70F2"/>
    <w:rsid w:val="003C27B9"/>
    <w:rsid w:val="003E63A7"/>
    <w:rsid w:val="004503E2"/>
    <w:rsid w:val="004A511C"/>
    <w:rsid w:val="004F084D"/>
    <w:rsid w:val="00536682"/>
    <w:rsid w:val="00610F52"/>
    <w:rsid w:val="0068041E"/>
    <w:rsid w:val="006C118C"/>
    <w:rsid w:val="006D7633"/>
    <w:rsid w:val="00773786"/>
    <w:rsid w:val="00775758"/>
    <w:rsid w:val="00784E38"/>
    <w:rsid w:val="008F331A"/>
    <w:rsid w:val="00984796"/>
    <w:rsid w:val="009B0DCB"/>
    <w:rsid w:val="00A62D4D"/>
    <w:rsid w:val="00AF425A"/>
    <w:rsid w:val="00B16009"/>
    <w:rsid w:val="00B3441E"/>
    <w:rsid w:val="00B41DAA"/>
    <w:rsid w:val="00C410D8"/>
    <w:rsid w:val="00C46A9E"/>
    <w:rsid w:val="00C81847"/>
    <w:rsid w:val="00CD1B10"/>
    <w:rsid w:val="00D1502E"/>
    <w:rsid w:val="00D3538A"/>
    <w:rsid w:val="00DB391A"/>
    <w:rsid w:val="00E41FDB"/>
    <w:rsid w:val="00EE4A52"/>
    <w:rsid w:val="00F44750"/>
    <w:rsid w:val="00F9183E"/>
    <w:rsid w:val="00FA35F4"/>
    <w:rsid w:val="00F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5C951"/>
  <w15:docId w15:val="{344161BE-879D-4677-B6C8-EEA8EBF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Body Text Char1,Char Char2,List Paragraph1,List Paragraph2,kepala,skripsi,Body of text+1,Body of text+2,Body of text+3,List Paragraph11,Medium Grid 1 - Accent 21,Colorful List - Accent 11,kepala 1,KEPALA 3,HEADING 1"/>
    <w:basedOn w:val="Normal"/>
    <w:link w:val="ListParagraphChar"/>
    <w:uiPriority w:val="34"/>
    <w:qFormat/>
    <w:rsid w:val="00A704FE"/>
    <w:pPr>
      <w:ind w:left="720"/>
      <w:contextualSpacing/>
    </w:pPr>
  </w:style>
  <w:style w:type="table" w:styleId="TableGrid">
    <w:name w:val="Table Grid"/>
    <w:basedOn w:val="TableNormal"/>
    <w:uiPriority w:val="3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ody Text Char1 Char,Char Char2 Char,List Paragraph1 Char,List Paragraph2 Char,kepala Char,skripsi Char,Body of text+1 Char,Body of text+2 Char,Body of text+3 Char,List Paragraph11 Char,kepala 1 Char,KEPALA 3 Char"/>
    <w:basedOn w:val="DefaultParagraphFont"/>
    <w:link w:val="ListParagraph"/>
    <w:uiPriority w:val="34"/>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3E63A7"/>
    <w:pPr>
      <w:widowControl w:val="0"/>
      <w:autoSpaceDE w:val="0"/>
      <w:autoSpaceDN w:val="0"/>
      <w:spacing w:before="3" w:after="0" w:line="247" w:lineRule="exact"/>
      <w:jc w:val="right"/>
    </w:pPr>
    <w:rPr>
      <w:rFonts w:ascii="Times New Roman" w:eastAsia="Times New Roman" w:hAnsi="Times New Roman" w:cs="Times New Roman"/>
      <w:lang w:val="en"/>
    </w:rPr>
  </w:style>
  <w:style w:type="character" w:styleId="UnresolvedMention">
    <w:name w:val="Unresolved Mention"/>
    <w:basedOn w:val="DefaultParagraphFont"/>
    <w:uiPriority w:val="99"/>
    <w:semiHidden/>
    <w:unhideWhenUsed/>
    <w:rsid w:val="00B1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80/09669582.2021.1853772" TargetMode="External"/><Relationship Id="rId26" Type="http://schemas.openxmlformats.org/officeDocument/2006/relationships/hyperlink" Target="https://doi.org/10.1177/0047287510374762" TargetMode="External"/><Relationship Id="rId3" Type="http://schemas.openxmlformats.org/officeDocument/2006/relationships/numbering" Target="numbering.xml"/><Relationship Id="rId21" Type="http://schemas.openxmlformats.org/officeDocument/2006/relationships/hyperlink" Target="https://doi.org/10.1016/j.tourman.2022.10531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1007/s10668-021-01309-0" TargetMode="External"/><Relationship Id="rId25" Type="http://schemas.openxmlformats.org/officeDocument/2006/relationships/hyperlink" Target="https://doi.org/10.1016/j.ijhm.2022.123456" TargetMode="External"/><Relationship Id="rId33" Type="http://schemas.openxmlformats.org/officeDocument/2006/relationships/hyperlink" Target="https://doi.org/10.1234/jtr.2023.4567890123" TargetMode="External"/><Relationship Id="rId2" Type="http://schemas.openxmlformats.org/officeDocument/2006/relationships/customXml" Target="../customXml/item2.xml"/><Relationship Id="rId16" Type="http://schemas.openxmlformats.org/officeDocument/2006/relationships/hyperlink" Target="https://doi.org/10.1080/09669582.2020.1857746" TargetMode="External"/><Relationship Id="rId20" Type="http://schemas.openxmlformats.org/officeDocument/2006/relationships/hyperlink" Target="https://doi.org/10.1016/j.jdmm.2020.100565" TargetMode="External"/><Relationship Id="rId29" Type="http://schemas.openxmlformats.org/officeDocument/2006/relationships/hyperlink" Target="https://doi.org/10.1234/ejtr.2021.12345678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ienoch12@gmail.com" TargetMode="External"/><Relationship Id="rId24" Type="http://schemas.openxmlformats.org/officeDocument/2006/relationships/hyperlink" Target="https://doi.org/10.1016/j.tmp.2019.100589" TargetMode="External"/><Relationship Id="rId32" Type="http://schemas.openxmlformats.org/officeDocument/2006/relationships/hyperlink" Target="https://doi.org/10.1108/JHTT-07-2022-0390" TargetMode="External"/><Relationship Id="rId5" Type="http://schemas.openxmlformats.org/officeDocument/2006/relationships/settings" Target="settings.xml"/><Relationship Id="rId15" Type="http://schemas.openxmlformats.org/officeDocument/2006/relationships/hyperlink" Target="https://doi.org/10.1177/1354816619872428" TargetMode="External"/><Relationship Id="rId23" Type="http://schemas.openxmlformats.org/officeDocument/2006/relationships/hyperlink" Target="https://doi.org/10.1016/j.annals.2017.04.003" TargetMode="External"/><Relationship Id="rId28" Type="http://schemas.openxmlformats.org/officeDocument/2006/relationships/hyperlink" Target="https://doi.org/10.1080/09669582.2021.1885883" TargetMode="External"/><Relationship Id="rId10" Type="http://schemas.openxmlformats.org/officeDocument/2006/relationships/hyperlink" Target="mailto:iwanrr2018@gmail.com" TargetMode="External"/><Relationship Id="rId19" Type="http://schemas.openxmlformats.org/officeDocument/2006/relationships/hyperlink" Target="https://doi.org/10.1177/00472875211038045" TargetMode="External"/><Relationship Id="rId31" Type="http://schemas.openxmlformats.org/officeDocument/2006/relationships/hyperlink" Target="https://doi.org/10.18111/978928441487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1016/j.annals.2021.103157" TargetMode="External"/><Relationship Id="rId22" Type="http://schemas.openxmlformats.org/officeDocument/2006/relationships/hyperlink" Target="https://doi.org/10.1080/09669582.2021.1867809" TargetMode="External"/><Relationship Id="rId27" Type="http://schemas.openxmlformats.org/officeDocument/2006/relationships/hyperlink" Target="https://doi.org/10.1080/10913211.2023.1410247" TargetMode="External"/><Relationship Id="rId30" Type="http://schemas.openxmlformats.org/officeDocument/2006/relationships/hyperlink" Target="https://doi.org/10.1016/j.jdmm.2020.100614" TargetMode="Externa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goldenratio.id/index.php/grts/index" TargetMode="External"/><Relationship Id="rId2" Type="http://schemas.openxmlformats.org/officeDocument/2006/relationships/hyperlink" Target="https://doi.org/10.52970/10.52970/grts.v4i1.625%20" TargetMode="External"/><Relationship Id="rId1" Type="http://schemas.openxmlformats.org/officeDocument/2006/relationships/image" Target="media/image2.png"/><Relationship Id="rId4" Type="http://schemas.openxmlformats.org/officeDocument/2006/relationships/hyperlink" Target="https://issn.lipi.go.id/terbit/detail/2021042648016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aSIloOV0aFCzhkYyieX8xaBiA==">AMUW2mVPX7zdwPIRao2e7fBbMLal1OgKd+sQlzVVdAuNIdscKSRjtpcGLnGR21uftrk1D3niJYvC7Az2omqYVWc2I76/E8pkYseSbW2Uj4zetj5NczGDNok=</go:docsCustomData>
</go:gDocsCustomXmlDataStorage>
</file>

<file path=customXml/itemProps1.xml><?xml version="1.0" encoding="utf-8"?>
<ds:datastoreItem xmlns:ds="http://schemas.openxmlformats.org/officeDocument/2006/customXml" ds:itemID="{C8526945-71C7-42B8-A44D-94489ACA06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6613</Words>
  <Characters>44442</Characters>
  <Application>Microsoft Office Word</Application>
  <DocSecurity>0</DocSecurity>
  <Lines>608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Halim Putra</dc:creator>
  <cp:lastModifiedBy>Aditya Halim Putra</cp:lastModifiedBy>
  <cp:revision>2</cp:revision>
  <dcterms:created xsi:type="dcterms:W3CDTF">2024-08-29T16:56:00Z</dcterms:created>
  <dcterms:modified xsi:type="dcterms:W3CDTF">2024-08-29T16:56:00Z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1f13346d0a39d4408be586ccd47b315bf149b85e1328d0c1629044c8f8d6fac2</vt:lpwstr>
  </property>
</Properties>
</file>