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91536" w14:textId="1DBA7436" w:rsidR="006D7633" w:rsidRDefault="00B16009">
      <w:pPr>
        <w:ind w:left="2410"/>
      </w:pPr>
      <w:r>
        <w:rPr>
          <w:noProof/>
        </w:rPr>
        <w:drawing>
          <wp:anchor distT="0" distB="0" distL="114300" distR="114300" simplePos="0" relativeHeight="251658240" behindDoc="0" locked="0" layoutInCell="1" hidden="0" allowOverlap="1" wp14:anchorId="2EC2442F" wp14:editId="6D272921">
            <wp:simplePos x="0" y="0"/>
            <wp:positionH relativeFrom="column">
              <wp:posOffset>-540327</wp:posOffset>
            </wp:positionH>
            <wp:positionV relativeFrom="paragraph">
              <wp:posOffset>320635</wp:posOffset>
            </wp:positionV>
            <wp:extent cx="1630558" cy="2306450"/>
            <wp:effectExtent l="0" t="0" r="8255" b="0"/>
            <wp:wrapNone/>
            <wp:docPr id="275" name="image2.jpg"/>
            <wp:cNvGraphicFramePr/>
            <a:graphic xmlns:a="http://schemas.openxmlformats.org/drawingml/2006/main">
              <a:graphicData uri="http://schemas.openxmlformats.org/drawingml/2006/picture">
                <pic:pic xmlns:pic="http://schemas.openxmlformats.org/drawingml/2006/picture">
                  <pic:nvPicPr>
                    <pic:cNvPr id="275" name="image2.jp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1630558" cy="2306450"/>
                    </a:xfrm>
                    <a:prstGeom prst="rect">
                      <a:avLst/>
                    </a:prstGeom>
                    <a:ln/>
                  </pic:spPr>
                </pic:pic>
              </a:graphicData>
            </a:graphic>
          </wp:anchor>
        </w:drawing>
      </w:r>
    </w:p>
    <w:p w14:paraId="798F8245" w14:textId="0532E6A1" w:rsidR="006D7633" w:rsidRPr="00FF2A67" w:rsidRDefault="00B16009">
      <w:pPr>
        <w:ind w:left="2410"/>
        <w:rPr>
          <w:color w:val="7B3F00"/>
        </w:rPr>
      </w:pPr>
      <w:r>
        <w:rPr>
          <w:noProof/>
          <w:color w:val="7B3F00"/>
        </w:rPr>
        <mc:AlternateContent>
          <mc:Choice Requires="wps">
            <w:drawing>
              <wp:anchor distT="0" distB="0" distL="114300" distR="114300" simplePos="0" relativeHeight="251662336" behindDoc="0" locked="0" layoutInCell="1" allowOverlap="1" wp14:anchorId="794F5758" wp14:editId="11F0D815">
                <wp:simplePos x="0" y="0"/>
                <wp:positionH relativeFrom="column">
                  <wp:posOffset>1307507</wp:posOffset>
                </wp:positionH>
                <wp:positionV relativeFrom="paragraph">
                  <wp:posOffset>30443</wp:posOffset>
                </wp:positionV>
                <wp:extent cx="0" cy="4871103"/>
                <wp:effectExtent l="0" t="0" r="38100" b="24765"/>
                <wp:wrapNone/>
                <wp:docPr id="4" name="Straight Connector 4"/>
                <wp:cNvGraphicFramePr/>
                <a:graphic xmlns:a="http://schemas.openxmlformats.org/drawingml/2006/main">
                  <a:graphicData uri="http://schemas.microsoft.com/office/word/2010/wordprocessingShape">
                    <wps:wsp>
                      <wps:cNvCnPr/>
                      <wps:spPr>
                        <a:xfrm>
                          <a:off x="0" y="0"/>
                          <a:ext cx="0" cy="4871103"/>
                        </a:xfrm>
                        <a:prstGeom prst="line">
                          <a:avLst/>
                        </a:prstGeom>
                        <a:noFill/>
                        <a:ln w="15875" cap="flat" cmpd="sng">
                          <a:solidFill>
                            <a:srgbClr val="7B3F00"/>
                          </a:solidFill>
                          <a:prstDash val="solid"/>
                          <a:miter lim="800000"/>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28D8B3F0"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95pt,2.4pt" to="102.95pt,3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" strokecolor="#7b3f00" strokeweight="1.25pt">
                <v:stroke startarrowwidth="narrow" startarrowlength="short" endarrowwidth="narrow" endarrowlength="short" joinstyle="miter"/>
              </v:line>
            </w:pict>
          </mc:Fallback>
        </mc:AlternateContent>
      </w:r>
      <w:r w:rsidR="004A511C" w:rsidRPr="00FF2A67">
        <w:rPr>
          <w:color w:val="7B3F00"/>
        </w:rPr>
        <w:t xml:space="preserve">TAXATION STUDIES | RESEARCH ARTICLE </w:t>
      </w:r>
    </w:p>
    <w:p w14:paraId="1185801D" w14:textId="371F9A43" w:rsidR="00D3538A" w:rsidRDefault="00BC5F52">
      <w:pPr>
        <w:ind w:left="2410"/>
        <w:rPr>
          <w:rFonts w:ascii="Corbel" w:eastAsia="Corbel" w:hAnsi="Corbel" w:cs="Corbel"/>
          <w:b/>
          <w:sz w:val="30"/>
          <w:szCs w:val="30"/>
        </w:rPr>
      </w:pPr>
      <w:r w:rsidRPr="00BC5F52">
        <w:rPr>
          <w:rFonts w:ascii="Corbel" w:eastAsia="Corbel" w:hAnsi="Corbel" w:cs="Corbel"/>
          <w:b/>
          <w:sz w:val="30"/>
          <w:szCs w:val="30"/>
        </w:rPr>
        <w:t>Implementation of Digital Taxes: Implications for Financial Management in Multinational Companies</w:t>
      </w:r>
    </w:p>
    <w:p w14:paraId="2E3FD11A" w14:textId="33778744" w:rsidR="00CF2493" w:rsidRPr="00CF2493" w:rsidRDefault="00CF2493" w:rsidP="00CF2493">
      <w:pPr>
        <w:ind w:left="2410"/>
        <w:rPr>
          <w:rFonts w:ascii="Corbel" w:eastAsia="Corbel" w:hAnsi="Corbel" w:cs="Corbel"/>
          <w:b/>
          <w:sz w:val="16"/>
          <w:szCs w:val="16"/>
        </w:rPr>
      </w:pPr>
      <w:r w:rsidRPr="002F6B29">
        <w:rPr>
          <w:rFonts w:ascii="Corbel" w:eastAsia="Corbel" w:hAnsi="Corbel" w:cs="Corbel"/>
          <w:b/>
          <w:sz w:val="16"/>
          <w:szCs w:val="16"/>
        </w:rPr>
        <w:t>Mohammad Ridwan Rumasukun</w:t>
      </w:r>
      <w:r>
        <w:rPr>
          <w:rFonts w:ascii="Corbel" w:eastAsia="Corbel" w:hAnsi="Corbel" w:cs="Corbel"/>
          <w:b/>
          <w:sz w:val="16"/>
          <w:szCs w:val="16"/>
          <w:vertAlign w:val="superscript"/>
        </w:rPr>
        <w:t>1</w:t>
      </w:r>
      <w:r>
        <w:rPr>
          <w:rFonts w:ascii="Corbel" w:eastAsia="Corbel" w:hAnsi="Corbel" w:cs="Corbel"/>
          <w:b/>
          <w:sz w:val="16"/>
          <w:szCs w:val="16"/>
        </w:rPr>
        <w:t xml:space="preserve">, </w:t>
      </w:r>
      <w:r w:rsidRPr="002F6B29">
        <w:rPr>
          <w:rFonts w:ascii="Corbel" w:eastAsia="Corbel" w:hAnsi="Corbel" w:cs="Corbel"/>
          <w:b/>
          <w:sz w:val="16"/>
          <w:szCs w:val="16"/>
        </w:rPr>
        <w:t>Muhammad Yamin Noch</w:t>
      </w:r>
      <w:r>
        <w:rPr>
          <w:rFonts w:ascii="Corbel" w:eastAsia="Corbel" w:hAnsi="Corbel" w:cs="Corbel"/>
          <w:b/>
          <w:sz w:val="16"/>
          <w:szCs w:val="16"/>
          <w:vertAlign w:val="superscript"/>
        </w:rPr>
        <w:t>2</w:t>
      </w:r>
    </w:p>
    <w:p w14:paraId="4A7793D4" w14:textId="11720F31" w:rsidR="00D3538A" w:rsidRDefault="00CF2493" w:rsidP="00CF2493">
      <w:pPr>
        <w:spacing w:after="0"/>
        <w:ind w:left="2410"/>
        <w:rPr>
          <w:rFonts w:ascii="Corbel" w:eastAsia="Corbel" w:hAnsi="Corbel" w:cs="Corbel"/>
          <w:sz w:val="16"/>
          <w:szCs w:val="16"/>
          <w:lang w:val="en"/>
        </w:rPr>
      </w:pPr>
      <w:r w:rsidRPr="00D3538A">
        <w:rPr>
          <w:rFonts w:ascii="Corbel" w:eastAsia="Corbel" w:hAnsi="Corbel" w:cs="Corbel"/>
          <w:sz w:val="16"/>
          <w:szCs w:val="16"/>
          <w:vertAlign w:val="superscript"/>
          <w:lang w:val="en"/>
        </w:rPr>
        <w:t>1</w:t>
      </w:r>
      <w:r>
        <w:rPr>
          <w:rFonts w:ascii="Corbel" w:eastAsia="Corbel" w:hAnsi="Corbel" w:cs="Corbel"/>
          <w:sz w:val="16"/>
          <w:szCs w:val="16"/>
          <w:vertAlign w:val="superscript"/>
          <w:lang w:val="en"/>
        </w:rPr>
        <w:t>,2</w:t>
      </w:r>
      <w:r w:rsidRPr="00D3538A">
        <w:rPr>
          <w:rFonts w:ascii="Corbel" w:eastAsia="Corbel" w:hAnsi="Corbel" w:cs="Corbel"/>
          <w:sz w:val="16"/>
          <w:szCs w:val="16"/>
          <w:lang w:val="en"/>
        </w:rPr>
        <w:t xml:space="preserve"> </w:t>
      </w:r>
      <w:r w:rsidRPr="00EA3B3F">
        <w:rPr>
          <w:rFonts w:ascii="Corbel" w:eastAsia="Corbel" w:hAnsi="Corbel" w:cs="Corbel"/>
          <w:sz w:val="16"/>
          <w:szCs w:val="16"/>
          <w:lang w:val="en"/>
        </w:rPr>
        <w:t xml:space="preserve">Department of </w:t>
      </w:r>
      <w:r>
        <w:rPr>
          <w:rFonts w:ascii="Corbel" w:eastAsia="Corbel" w:hAnsi="Corbel" w:cs="Corbel"/>
          <w:sz w:val="16"/>
          <w:szCs w:val="16"/>
          <w:lang w:val="en"/>
        </w:rPr>
        <w:t>Accounting</w:t>
      </w:r>
      <w:r w:rsidRPr="00EA3B3F">
        <w:rPr>
          <w:rFonts w:ascii="Corbel" w:eastAsia="Corbel" w:hAnsi="Corbel" w:cs="Corbel"/>
          <w:sz w:val="16"/>
          <w:szCs w:val="16"/>
          <w:lang w:val="en"/>
        </w:rPr>
        <w:t xml:space="preserve">, Faculty of Economics and Business, Universitas </w:t>
      </w:r>
      <w:r>
        <w:rPr>
          <w:rFonts w:ascii="Corbel" w:eastAsia="Corbel" w:hAnsi="Corbel" w:cs="Corbel"/>
          <w:sz w:val="16"/>
          <w:szCs w:val="16"/>
          <w:lang w:val="en"/>
        </w:rPr>
        <w:t>Yapis Papua</w:t>
      </w:r>
      <w:r w:rsidRPr="00EA3B3F">
        <w:rPr>
          <w:rFonts w:ascii="Corbel" w:eastAsia="Corbel" w:hAnsi="Corbel" w:cs="Corbel"/>
          <w:sz w:val="16"/>
          <w:szCs w:val="16"/>
          <w:lang w:val="en"/>
        </w:rPr>
        <w:t>, Indonesia. Email:</w:t>
      </w:r>
      <w:r w:rsidRPr="002F6B29">
        <w:rPr>
          <w:rFonts w:ascii="Corbel" w:eastAsia="Corbel" w:hAnsi="Corbel" w:cs="Corbel"/>
          <w:sz w:val="16"/>
          <w:szCs w:val="16"/>
          <w:lang w:val="en"/>
        </w:rPr>
        <w:t xml:space="preserve"> </w:t>
      </w:r>
      <w:hyperlink r:id="rId10" w:history="1">
        <w:r w:rsidRPr="00DA4F78">
          <w:rPr>
            <w:rStyle w:val="Hyperlink"/>
            <w:rFonts w:ascii="Corbel" w:eastAsia="Corbel" w:hAnsi="Corbel" w:cs="Corbel"/>
            <w:sz w:val="16"/>
            <w:szCs w:val="16"/>
            <w:lang w:val="en"/>
          </w:rPr>
          <w:t>iwanrr2018@gmail.com</w:t>
        </w:r>
      </w:hyperlink>
      <w:r>
        <w:rPr>
          <w:rFonts w:ascii="Corbel" w:eastAsia="Corbel" w:hAnsi="Corbel" w:cs="Corbel"/>
          <w:sz w:val="16"/>
          <w:szCs w:val="16"/>
          <w:lang w:val="en"/>
        </w:rPr>
        <w:t xml:space="preserve">, </w:t>
      </w:r>
      <w:hyperlink r:id="rId11" w:history="1">
        <w:r w:rsidRPr="00DA4F78">
          <w:rPr>
            <w:rStyle w:val="Hyperlink"/>
            <w:rFonts w:ascii="Corbel" w:eastAsia="Corbel" w:hAnsi="Corbel" w:cs="Corbel"/>
            <w:sz w:val="16"/>
            <w:szCs w:val="16"/>
            <w:lang w:val="en"/>
          </w:rPr>
          <w:t>abienoch12@gmail.com</w:t>
        </w:r>
      </w:hyperlink>
      <w:r w:rsidR="00D3538A">
        <w:rPr>
          <w:rFonts w:ascii="Corbel" w:eastAsia="Corbel" w:hAnsi="Corbel" w:cs="Corbel"/>
          <w:sz w:val="16"/>
          <w:szCs w:val="16"/>
          <w:lang w:val="en"/>
        </w:rPr>
        <w:t xml:space="preserve"> </w:t>
      </w:r>
    </w:p>
    <w:p w14:paraId="686F0F4B" w14:textId="77777777" w:rsidR="00D3538A" w:rsidRPr="00D3538A" w:rsidRDefault="00D3538A" w:rsidP="00D3538A">
      <w:pPr>
        <w:spacing w:after="0"/>
        <w:ind w:left="2410"/>
        <w:rPr>
          <w:rFonts w:ascii="Corbel" w:eastAsia="Corbel" w:hAnsi="Corbel" w:cs="Corbel"/>
          <w:sz w:val="16"/>
          <w:szCs w:val="16"/>
          <w:lang w:val="en"/>
        </w:rPr>
      </w:pPr>
    </w:p>
    <w:p w14:paraId="07AAA3F0" w14:textId="55B38918" w:rsidR="006D7633" w:rsidRDefault="00FF2A67">
      <w:pPr>
        <w:ind w:left="2410"/>
        <w:jc w:val="both"/>
        <w:rPr>
          <w:rFonts w:ascii="EB Garamond" w:eastAsia="EB Garamond" w:hAnsi="EB Garamond" w:cs="EB Garamond"/>
          <w:color w:val="FF0000"/>
          <w:sz w:val="16"/>
          <w:szCs w:val="16"/>
        </w:rPr>
      </w:pPr>
      <w:r>
        <w:rPr>
          <w:noProof/>
        </w:rPr>
        <mc:AlternateContent>
          <mc:Choice Requires="wps">
            <w:drawing>
              <wp:anchor distT="0" distB="0" distL="114300" distR="114300" simplePos="0" relativeHeight="251660288" behindDoc="0" locked="0" layoutInCell="1" hidden="0" allowOverlap="1" wp14:anchorId="4725F75C" wp14:editId="5CD0EEA5">
                <wp:simplePos x="0" y="0"/>
                <wp:positionH relativeFrom="column">
                  <wp:posOffset>-606649</wp:posOffset>
                </wp:positionH>
                <wp:positionV relativeFrom="paragraph">
                  <wp:posOffset>827258</wp:posOffset>
                </wp:positionV>
                <wp:extent cx="1765300" cy="1807845"/>
                <wp:effectExtent l="0" t="0" r="6350" b="1905"/>
                <wp:wrapNone/>
                <wp:docPr id="270" name="Rectangle 270"/>
                <wp:cNvGraphicFramePr/>
                <a:graphic xmlns:a="http://schemas.openxmlformats.org/drawingml/2006/main">
                  <a:graphicData uri="http://schemas.microsoft.com/office/word/2010/wordprocessingShape">
                    <wps:wsp>
                      <wps:cNvSpPr/>
                      <wps:spPr>
                        <a:xfrm>
                          <a:off x="0" y="0"/>
                          <a:ext cx="1765300" cy="1807845"/>
                        </a:xfrm>
                        <a:prstGeom prst="rect">
                          <a:avLst/>
                        </a:prstGeom>
                        <a:solidFill>
                          <a:schemeClr val="lt1"/>
                        </a:solidFill>
                        <a:ln>
                          <a:noFill/>
                        </a:ln>
                      </wps:spPr>
                      <wps:txbx>
                        <w:txbxContent>
                          <w:p w14:paraId="1557B377" w14:textId="6FF78A2A" w:rsidR="00CF2493" w:rsidRDefault="00CF2493" w:rsidP="00CF2493">
                            <w:pPr>
                              <w:spacing w:after="0" w:line="258" w:lineRule="auto"/>
                              <w:textDirection w:val="btLr"/>
                            </w:pPr>
                            <w:r w:rsidRPr="00FF2A67">
                              <w:rPr>
                                <w:color w:val="7B3F00"/>
                                <w:sz w:val="16"/>
                              </w:rPr>
                              <w:t>Received:</w:t>
                            </w:r>
                            <w:r>
                              <w:rPr>
                                <w:color w:val="000000"/>
                                <w:sz w:val="16"/>
                              </w:rPr>
                              <w:t xml:space="preserve"> 14 December 202</w:t>
                            </w:r>
                            <w:r>
                              <w:rPr>
                                <w:color w:val="000000"/>
                                <w:sz w:val="16"/>
                              </w:rPr>
                              <w:t>1</w:t>
                            </w:r>
                          </w:p>
                          <w:p w14:paraId="608CA19D" w14:textId="10F622C0" w:rsidR="00CF2493" w:rsidRDefault="00CF2493" w:rsidP="00CF2493">
                            <w:pPr>
                              <w:spacing w:after="0" w:line="258" w:lineRule="auto"/>
                              <w:textDirection w:val="btLr"/>
                            </w:pPr>
                            <w:r w:rsidRPr="00FF2A67">
                              <w:rPr>
                                <w:color w:val="7B3F00"/>
                                <w:sz w:val="16"/>
                              </w:rPr>
                              <w:t>Revised:</w:t>
                            </w:r>
                            <w:r>
                              <w:rPr>
                                <w:color w:val="000000"/>
                                <w:sz w:val="16"/>
                              </w:rPr>
                              <w:t xml:space="preserve"> 1</w:t>
                            </w:r>
                            <w:r>
                              <w:rPr>
                                <w:color w:val="000000"/>
                                <w:sz w:val="16"/>
                              </w:rPr>
                              <w:t>5</w:t>
                            </w:r>
                            <w:r>
                              <w:rPr>
                                <w:color w:val="000000"/>
                                <w:sz w:val="16"/>
                              </w:rPr>
                              <w:t xml:space="preserve"> March 202</w:t>
                            </w:r>
                            <w:r>
                              <w:rPr>
                                <w:color w:val="000000"/>
                                <w:sz w:val="16"/>
                              </w:rPr>
                              <w:t>4</w:t>
                            </w:r>
                          </w:p>
                          <w:p w14:paraId="0E20E585" w14:textId="071B2DE2" w:rsidR="00CF2493" w:rsidRDefault="00CF2493" w:rsidP="00CF2493">
                            <w:pPr>
                              <w:spacing w:after="0" w:line="258" w:lineRule="auto"/>
                              <w:textDirection w:val="btLr"/>
                            </w:pPr>
                            <w:r w:rsidRPr="00FF2A67">
                              <w:rPr>
                                <w:color w:val="7B3F00"/>
                                <w:sz w:val="16"/>
                              </w:rPr>
                              <w:t>Accepted:</w:t>
                            </w:r>
                            <w:r>
                              <w:rPr>
                                <w:color w:val="000000"/>
                                <w:sz w:val="16"/>
                              </w:rPr>
                              <w:t xml:space="preserve"> 30 May 202</w:t>
                            </w:r>
                            <w:r>
                              <w:rPr>
                                <w:color w:val="000000"/>
                                <w:sz w:val="16"/>
                              </w:rPr>
                              <w:t>4</w:t>
                            </w:r>
                          </w:p>
                          <w:p w14:paraId="5A48BCA2" w14:textId="77777777" w:rsidR="006D7633" w:rsidRDefault="006D7633" w:rsidP="00FF2A67">
                            <w:pPr>
                              <w:spacing w:after="0" w:line="258" w:lineRule="auto"/>
                              <w:ind w:left="425" w:firstLine="425"/>
                              <w:textDirection w:val="btLr"/>
                            </w:pPr>
                          </w:p>
                          <w:p w14:paraId="58200DAF" w14:textId="77777777" w:rsidR="00CF2493" w:rsidRDefault="00CF2493" w:rsidP="00CF2493">
                            <w:pPr>
                              <w:spacing w:after="0" w:line="258" w:lineRule="auto"/>
                              <w:textDirection w:val="btLr"/>
                            </w:pPr>
                            <w:r>
                              <w:rPr>
                                <w:color w:val="000000"/>
                                <w:sz w:val="16"/>
                              </w:rPr>
                              <w:t>*</w:t>
                            </w:r>
                            <w:r w:rsidRPr="00FF2A67">
                              <w:rPr>
                                <w:color w:val="7B3F00"/>
                                <w:sz w:val="16"/>
                              </w:rPr>
                              <w:t xml:space="preserve">Corresponding author: </w:t>
                            </w:r>
                            <w:r w:rsidRPr="002F6B29">
                              <w:rPr>
                                <w:color w:val="000000"/>
                                <w:sz w:val="16"/>
                              </w:rPr>
                              <w:t>Muhammad Yamin Noch</w:t>
                            </w:r>
                            <w:r>
                              <w:rPr>
                                <w:color w:val="000000"/>
                                <w:sz w:val="16"/>
                              </w:rPr>
                              <w:t>,</w:t>
                            </w:r>
                            <w:r w:rsidRPr="00EA3B3F">
                              <w:t xml:space="preserve"> </w:t>
                            </w:r>
                            <w:r w:rsidRPr="002F6B29">
                              <w:rPr>
                                <w:color w:val="000000"/>
                                <w:sz w:val="16"/>
                              </w:rPr>
                              <w:t>Department of Accounting, Faculty of Economics and Business, Universitas Yapis Papua, Indonesia</w:t>
                            </w:r>
                            <w:r w:rsidRPr="00EA3B3F">
                              <w:rPr>
                                <w:color w:val="000000"/>
                                <w:sz w:val="16"/>
                              </w:rPr>
                              <w:t xml:space="preserve">. </w:t>
                            </w:r>
                            <w:r>
                              <w:rPr>
                                <w:color w:val="000000"/>
                                <w:sz w:val="16"/>
                              </w:rPr>
                              <w:t xml:space="preserve"> </w:t>
                            </w:r>
                          </w:p>
                          <w:p w14:paraId="60B9DB19" w14:textId="77777777" w:rsidR="00CF2493" w:rsidRDefault="00CF2493" w:rsidP="00CF2493">
                            <w:pPr>
                              <w:spacing w:after="0" w:line="258" w:lineRule="auto"/>
                              <w:ind w:left="425" w:firstLine="425"/>
                              <w:textDirection w:val="btLr"/>
                            </w:pPr>
                          </w:p>
                          <w:p w14:paraId="776E27C7" w14:textId="551736D5" w:rsidR="00DC63EE" w:rsidRDefault="00CF2493" w:rsidP="00CF2493">
                            <w:pPr>
                              <w:spacing w:after="0" w:line="258" w:lineRule="auto"/>
                              <w:textDirection w:val="btLr"/>
                            </w:pPr>
                            <w:r w:rsidRPr="00FF2A67">
                              <w:rPr>
                                <w:color w:val="7B3F00"/>
                                <w:sz w:val="16"/>
                              </w:rPr>
                              <w:t xml:space="preserve">E-mail: </w:t>
                            </w:r>
                            <w:hyperlink r:id="rId12" w:history="1">
                              <w:r w:rsidRPr="00DA4F78">
                                <w:rPr>
                                  <w:rStyle w:val="Hyperlink"/>
                                  <w:sz w:val="16"/>
                                </w:rPr>
                                <w:t>abienoch12@gmail.com</w:t>
                              </w:r>
                            </w:hyperlink>
                            <w:r w:rsidR="00DC63EE">
                              <w:rPr>
                                <w:color w:val="000000"/>
                                <w:sz w:val="16"/>
                              </w:rPr>
                              <w:t xml:space="preserve"> </w:t>
                            </w:r>
                          </w:p>
                          <w:p w14:paraId="6080C086" w14:textId="57F8E3B8" w:rsidR="006D7633" w:rsidRDefault="006D7633" w:rsidP="00FF2A67">
                            <w:pPr>
                              <w:spacing w:after="0" w:line="258" w:lineRule="auto"/>
                              <w:textDirection w:val="btLr"/>
                            </w:pPr>
                          </w:p>
                          <w:p w14:paraId="4666AD9F" w14:textId="77777777" w:rsidR="006D7633" w:rsidRDefault="006D7633" w:rsidP="00FF2A67">
                            <w:pPr>
                              <w:spacing w:after="0" w:line="258" w:lineRule="auto"/>
                              <w:ind w:left="567" w:firstLine="567"/>
                              <w:textDirection w:val="btLr"/>
                            </w:pPr>
                          </w:p>
                          <w:p w14:paraId="6C1F778A" w14:textId="77777777" w:rsidR="006D7633" w:rsidRDefault="006D7633" w:rsidP="00FF2A67">
                            <w:pPr>
                              <w:spacing w:after="0" w:line="258" w:lineRule="auto"/>
                              <w:ind w:left="567" w:firstLine="567"/>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725F75C" id="Rectangle 270" o:spid="_x0000_s1026" style="position:absolute;left:0;text-align:left;margin-left:-47.75pt;margin-top:65.15pt;width:139pt;height:14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" fillcolor="white [3201]" stroked="f">
                <v:textbox inset="2.53958mm,1.2694mm,2.53958mm,1.2694mm">
                  <w:txbxContent>
                    <w:p w14:paraId="1557B377" w14:textId="6FF78A2A" w:rsidR="00CF2493" w:rsidRDefault="00CF2493" w:rsidP="00CF2493">
                      <w:pPr>
                        <w:spacing w:after="0" w:line="258" w:lineRule="auto"/>
                        <w:textDirection w:val="btLr"/>
                      </w:pPr>
                      <w:r w:rsidRPr="00FF2A67">
                        <w:rPr>
                          <w:color w:val="7B3F00"/>
                          <w:sz w:val="16"/>
                        </w:rPr>
                        <w:t>Received:</w:t>
                      </w:r>
                      <w:r>
                        <w:rPr>
                          <w:color w:val="000000"/>
                          <w:sz w:val="16"/>
                        </w:rPr>
                        <w:t xml:space="preserve"> 14 December 202</w:t>
                      </w:r>
                      <w:r>
                        <w:rPr>
                          <w:color w:val="000000"/>
                          <w:sz w:val="16"/>
                        </w:rPr>
                        <w:t>1</w:t>
                      </w:r>
                    </w:p>
                    <w:p w14:paraId="608CA19D" w14:textId="10F622C0" w:rsidR="00CF2493" w:rsidRDefault="00CF2493" w:rsidP="00CF2493">
                      <w:pPr>
                        <w:spacing w:after="0" w:line="258" w:lineRule="auto"/>
                        <w:textDirection w:val="btLr"/>
                      </w:pPr>
                      <w:r w:rsidRPr="00FF2A67">
                        <w:rPr>
                          <w:color w:val="7B3F00"/>
                          <w:sz w:val="16"/>
                        </w:rPr>
                        <w:t>Revised:</w:t>
                      </w:r>
                      <w:r>
                        <w:rPr>
                          <w:color w:val="000000"/>
                          <w:sz w:val="16"/>
                        </w:rPr>
                        <w:t xml:space="preserve"> 1</w:t>
                      </w:r>
                      <w:r>
                        <w:rPr>
                          <w:color w:val="000000"/>
                          <w:sz w:val="16"/>
                        </w:rPr>
                        <w:t>5</w:t>
                      </w:r>
                      <w:r>
                        <w:rPr>
                          <w:color w:val="000000"/>
                          <w:sz w:val="16"/>
                        </w:rPr>
                        <w:t xml:space="preserve"> March 202</w:t>
                      </w:r>
                      <w:r>
                        <w:rPr>
                          <w:color w:val="000000"/>
                          <w:sz w:val="16"/>
                        </w:rPr>
                        <w:t>4</w:t>
                      </w:r>
                    </w:p>
                    <w:p w14:paraId="0E20E585" w14:textId="071B2DE2" w:rsidR="00CF2493" w:rsidRDefault="00CF2493" w:rsidP="00CF2493">
                      <w:pPr>
                        <w:spacing w:after="0" w:line="258" w:lineRule="auto"/>
                        <w:textDirection w:val="btLr"/>
                      </w:pPr>
                      <w:r w:rsidRPr="00FF2A67">
                        <w:rPr>
                          <w:color w:val="7B3F00"/>
                          <w:sz w:val="16"/>
                        </w:rPr>
                        <w:t>Accepted:</w:t>
                      </w:r>
                      <w:r>
                        <w:rPr>
                          <w:color w:val="000000"/>
                          <w:sz w:val="16"/>
                        </w:rPr>
                        <w:t xml:space="preserve"> 30 May 202</w:t>
                      </w:r>
                      <w:r>
                        <w:rPr>
                          <w:color w:val="000000"/>
                          <w:sz w:val="16"/>
                        </w:rPr>
                        <w:t>4</w:t>
                      </w:r>
                    </w:p>
                    <w:p w14:paraId="5A48BCA2" w14:textId="77777777" w:rsidR="006D7633" w:rsidRDefault="006D7633" w:rsidP="00FF2A67">
                      <w:pPr>
                        <w:spacing w:after="0" w:line="258" w:lineRule="auto"/>
                        <w:ind w:left="425" w:firstLine="425"/>
                        <w:textDirection w:val="btLr"/>
                      </w:pPr>
                    </w:p>
                    <w:p w14:paraId="58200DAF" w14:textId="77777777" w:rsidR="00CF2493" w:rsidRDefault="00CF2493" w:rsidP="00CF2493">
                      <w:pPr>
                        <w:spacing w:after="0" w:line="258" w:lineRule="auto"/>
                        <w:textDirection w:val="btLr"/>
                      </w:pPr>
                      <w:r>
                        <w:rPr>
                          <w:color w:val="000000"/>
                          <w:sz w:val="16"/>
                        </w:rPr>
                        <w:t>*</w:t>
                      </w:r>
                      <w:r w:rsidRPr="00FF2A67">
                        <w:rPr>
                          <w:color w:val="7B3F00"/>
                          <w:sz w:val="16"/>
                        </w:rPr>
                        <w:t xml:space="preserve">Corresponding author: </w:t>
                      </w:r>
                      <w:r w:rsidRPr="002F6B29">
                        <w:rPr>
                          <w:color w:val="000000"/>
                          <w:sz w:val="16"/>
                        </w:rPr>
                        <w:t>Muhammad Yamin Noch</w:t>
                      </w:r>
                      <w:r>
                        <w:rPr>
                          <w:color w:val="000000"/>
                          <w:sz w:val="16"/>
                        </w:rPr>
                        <w:t>,</w:t>
                      </w:r>
                      <w:r w:rsidRPr="00EA3B3F">
                        <w:t xml:space="preserve"> </w:t>
                      </w:r>
                      <w:r w:rsidRPr="002F6B29">
                        <w:rPr>
                          <w:color w:val="000000"/>
                          <w:sz w:val="16"/>
                        </w:rPr>
                        <w:t>Department of Accounting, Faculty of Economics and Business, Universitas Yapis Papua, Indonesia</w:t>
                      </w:r>
                      <w:r w:rsidRPr="00EA3B3F">
                        <w:rPr>
                          <w:color w:val="000000"/>
                          <w:sz w:val="16"/>
                        </w:rPr>
                        <w:t xml:space="preserve">. </w:t>
                      </w:r>
                      <w:r>
                        <w:rPr>
                          <w:color w:val="000000"/>
                          <w:sz w:val="16"/>
                        </w:rPr>
                        <w:t xml:space="preserve"> </w:t>
                      </w:r>
                    </w:p>
                    <w:p w14:paraId="60B9DB19" w14:textId="77777777" w:rsidR="00CF2493" w:rsidRDefault="00CF2493" w:rsidP="00CF2493">
                      <w:pPr>
                        <w:spacing w:after="0" w:line="258" w:lineRule="auto"/>
                        <w:ind w:left="425" w:firstLine="425"/>
                        <w:textDirection w:val="btLr"/>
                      </w:pPr>
                    </w:p>
                    <w:p w14:paraId="776E27C7" w14:textId="551736D5" w:rsidR="00DC63EE" w:rsidRDefault="00CF2493" w:rsidP="00CF2493">
                      <w:pPr>
                        <w:spacing w:after="0" w:line="258" w:lineRule="auto"/>
                        <w:textDirection w:val="btLr"/>
                      </w:pPr>
                      <w:r w:rsidRPr="00FF2A67">
                        <w:rPr>
                          <w:color w:val="7B3F00"/>
                          <w:sz w:val="16"/>
                        </w:rPr>
                        <w:t xml:space="preserve">E-mail: </w:t>
                      </w:r>
                      <w:hyperlink r:id="rId13" w:history="1">
                        <w:r w:rsidRPr="00DA4F78">
                          <w:rPr>
                            <w:rStyle w:val="Hyperlink"/>
                            <w:sz w:val="16"/>
                          </w:rPr>
                          <w:t>abienoch12@gmail.com</w:t>
                        </w:r>
                      </w:hyperlink>
                      <w:r w:rsidR="00DC63EE">
                        <w:rPr>
                          <w:color w:val="000000"/>
                          <w:sz w:val="16"/>
                        </w:rPr>
                        <w:t xml:space="preserve"> </w:t>
                      </w:r>
                    </w:p>
                    <w:p w14:paraId="6080C086" w14:textId="57F8E3B8" w:rsidR="006D7633" w:rsidRDefault="006D7633" w:rsidP="00FF2A67">
                      <w:pPr>
                        <w:spacing w:after="0" w:line="258" w:lineRule="auto"/>
                        <w:textDirection w:val="btLr"/>
                      </w:pPr>
                    </w:p>
                    <w:p w14:paraId="4666AD9F" w14:textId="77777777" w:rsidR="006D7633" w:rsidRDefault="006D7633" w:rsidP="00FF2A67">
                      <w:pPr>
                        <w:spacing w:after="0" w:line="258" w:lineRule="auto"/>
                        <w:ind w:left="567" w:firstLine="567"/>
                        <w:textDirection w:val="btLr"/>
                      </w:pPr>
                    </w:p>
                    <w:p w14:paraId="6C1F778A" w14:textId="77777777" w:rsidR="006D7633" w:rsidRDefault="006D7633" w:rsidP="00FF2A67">
                      <w:pPr>
                        <w:spacing w:after="0" w:line="258" w:lineRule="auto"/>
                        <w:ind w:left="567" w:firstLine="567"/>
                        <w:textDirection w:val="btLr"/>
                      </w:pPr>
                    </w:p>
                  </w:txbxContent>
                </v:textbox>
              </v:rect>
            </w:pict>
          </mc:Fallback>
        </mc:AlternateContent>
      </w:r>
      <w:r>
        <w:rPr>
          <w:rFonts w:ascii="Corbel" w:eastAsia="Corbel" w:hAnsi="Corbel" w:cs="Corbel"/>
          <w:b/>
          <w:color w:val="7B3F00"/>
          <w:sz w:val="20"/>
          <w:szCs w:val="20"/>
        </w:rPr>
        <w:t>Abstract:</w:t>
      </w:r>
      <w:r>
        <w:rPr>
          <w:rFonts w:ascii="Corbel" w:eastAsia="Corbel" w:hAnsi="Corbel" w:cs="Corbel"/>
          <w:b/>
          <w:color w:val="FF0000"/>
          <w:sz w:val="20"/>
          <w:szCs w:val="20"/>
        </w:rPr>
        <w:t xml:space="preserve"> </w:t>
      </w:r>
      <w:r w:rsidR="00BC5F52" w:rsidRPr="00BC5F52">
        <w:rPr>
          <w:rFonts w:ascii="EB Garamond" w:eastAsia="EB Garamond" w:hAnsi="EB Garamond" w:cs="EB Garamond"/>
          <w:color w:val="000000"/>
          <w:sz w:val="18"/>
          <w:szCs w:val="18"/>
        </w:rPr>
        <w:t>This qualitative research explores the implications of digital taxation on the financial management practices of multinational companies (MNCs). Employing a systematic review methodology, the study aims to elucidate the impact of digital taxation regimes on MNCs' transfer pricing strategies, profit repatriation decisions, and compliance costs. By analyzing a diverse range of literature from academic databases and reputable sources, the research identifies key themes and insights relevant to the evolving landscape of digital taxation. Findings reveal that digital taxation has prompted MNCs to adapt their transfer pricing methodologies to reflect the value generated by digital activities, ensuring compliance with tax regulations and minimizing tax risks. Moreover, digital taxation influences MNCs' profit repatriation strategies, as they seek to optimize after-tax returns while navigating the complexities of global tax regimes. The study highlights the challenges posed by compliance costs and regulatory uncertainty in the digital taxation landscape, underscoring the need for adaptive strategies and technological solutions to enhance MNCs' financial resilience. Theoretical implications suggest the importance of further research to deepen our understanding of the mechanisms through which digital taxation affects MNCs' financial management practices. Longitudinal studies and comparative analyses across jurisdictions are recommended to inform policy development and managerial decision-making in the dynamic realm of digital taxation. This research contributes to the academic discourse on digital taxation and provides practical insights for MNCs seeking to navigate the complexities of the digital economy.</w:t>
      </w:r>
    </w:p>
    <w:p w14:paraId="385FF30C" w14:textId="7B3F0206" w:rsidR="006D7633" w:rsidRDefault="004A511C" w:rsidP="00FF2A67">
      <w:pPr>
        <w:spacing w:after="0" w:line="240" w:lineRule="auto"/>
        <w:ind w:left="2410"/>
        <w:jc w:val="both"/>
        <w:rPr>
          <w:rFonts w:ascii="Corbel" w:eastAsia="Corbel" w:hAnsi="Corbel" w:cs="Corbel"/>
          <w:color w:val="FF0000"/>
          <w:sz w:val="16"/>
          <w:szCs w:val="16"/>
        </w:rPr>
      </w:pPr>
      <w:r w:rsidRPr="003424FC">
        <w:rPr>
          <w:rFonts w:ascii="Corbel" w:eastAsia="Corbel" w:hAnsi="Corbel" w:cs="Corbel"/>
          <w:b/>
          <w:color w:val="7B3F00"/>
          <w:sz w:val="16"/>
          <w:szCs w:val="16"/>
        </w:rPr>
        <w:t>Keywords</w:t>
      </w:r>
      <w:r w:rsidRPr="003424FC">
        <w:rPr>
          <w:rFonts w:ascii="Corbel" w:eastAsia="Corbel" w:hAnsi="Corbel" w:cs="Corbel"/>
          <w:color w:val="7B3F00"/>
          <w:sz w:val="16"/>
          <w:szCs w:val="16"/>
        </w:rPr>
        <w:t>:</w:t>
      </w:r>
      <w:r>
        <w:rPr>
          <w:rFonts w:ascii="Corbel" w:eastAsia="Corbel" w:hAnsi="Corbel" w:cs="Corbel"/>
          <w:sz w:val="16"/>
          <w:szCs w:val="16"/>
        </w:rPr>
        <w:t xml:space="preserve"> </w:t>
      </w:r>
      <w:r w:rsidR="00BC5F52" w:rsidRPr="00BC5F52">
        <w:rPr>
          <w:rFonts w:ascii="Corbel" w:eastAsia="Corbel" w:hAnsi="Corbel" w:cs="Corbel"/>
          <w:sz w:val="16"/>
          <w:szCs w:val="16"/>
        </w:rPr>
        <w:t>Digital Taxation, Multinational Companies, Financial Management, Transfer Pricing, Compliance Costs.</w:t>
      </w:r>
    </w:p>
    <w:p w14:paraId="366A1E19" w14:textId="77777777" w:rsidR="00D3538A" w:rsidRDefault="00D3538A" w:rsidP="00DC63EE">
      <w:pPr>
        <w:spacing w:after="0" w:line="240" w:lineRule="auto"/>
        <w:jc w:val="both"/>
        <w:rPr>
          <w:rFonts w:ascii="Corbel" w:eastAsia="Corbel" w:hAnsi="Corbel" w:cs="Corbel"/>
          <w:sz w:val="16"/>
          <w:szCs w:val="16"/>
        </w:rPr>
      </w:pPr>
    </w:p>
    <w:p w14:paraId="201170B0" w14:textId="77777777" w:rsidR="006D7633" w:rsidRDefault="006D7633">
      <w:pPr>
        <w:spacing w:after="0" w:line="240" w:lineRule="auto"/>
        <w:ind w:left="2410"/>
        <w:jc w:val="both"/>
        <w:rPr>
          <w:rFonts w:ascii="Corbel" w:eastAsia="Corbel" w:hAnsi="Corbel" w:cs="Corbel"/>
          <w:sz w:val="16"/>
          <w:szCs w:val="16"/>
        </w:rPr>
      </w:pPr>
    </w:p>
    <w:p w14:paraId="581CCDFA" w14:textId="77777777" w:rsidR="006D7633" w:rsidRDefault="004A511C">
      <w:pPr>
        <w:numPr>
          <w:ilvl w:val="0"/>
          <w:numId w:val="13"/>
        </w:numPr>
        <w:pBdr>
          <w:top w:val="nil"/>
          <w:left w:val="nil"/>
          <w:bottom w:val="nil"/>
          <w:right w:val="nil"/>
          <w:between w:val="nil"/>
        </w:pBdr>
        <w:spacing w:after="0" w:line="240" w:lineRule="auto"/>
        <w:ind w:left="1560"/>
        <w:jc w:val="both"/>
        <w:rPr>
          <w:b/>
          <w:color w:val="FF0000"/>
        </w:rPr>
      </w:pPr>
      <w:r w:rsidRPr="00FF2A67">
        <w:rPr>
          <w:b/>
          <w:color w:val="7B3F00"/>
        </w:rPr>
        <w:t xml:space="preserve">INTRODUCTION </w:t>
      </w:r>
    </w:p>
    <w:p w14:paraId="6416D8F1" w14:textId="77777777" w:rsidR="006D7633" w:rsidRDefault="006D7633">
      <w:pPr>
        <w:pBdr>
          <w:top w:val="nil"/>
          <w:left w:val="nil"/>
          <w:bottom w:val="nil"/>
          <w:right w:val="nil"/>
          <w:between w:val="nil"/>
        </w:pBdr>
        <w:spacing w:after="0" w:line="240" w:lineRule="auto"/>
        <w:ind w:left="2770"/>
        <w:jc w:val="both"/>
        <w:rPr>
          <w:rFonts w:ascii="Corbel" w:eastAsia="Corbel" w:hAnsi="Corbel" w:cs="Corbel"/>
          <w:b/>
          <w:color w:val="FF0000"/>
          <w:sz w:val="16"/>
          <w:szCs w:val="16"/>
        </w:rPr>
      </w:pPr>
    </w:p>
    <w:p w14:paraId="0516A8B9"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The advent of digital technologies has significantly transformed the landscape of global commerce, reshaping the way businesses operate and interact with consumers. In this era of rapid technological advancement, one of the notable developments is the implementation of digital taxes, which has garnered considerable attention from scholars, policymakers, and multinational companies (MNCs) alike. This introduction aims to provide a comprehensive overview of the implications of digital taxes on financial management in MNCs, elucidating both general and specific aspects, highlighting relevant research findings, and outlining the objectives of this quantitative descriptive research. Digital taxation refers to the imposition of taxes on digital transactions, services, and activities conducted by businesses operating in the digital realm. With the proliferation of e-commerce platforms, digital advertising, and online services, traditional tax frameworks have encountered challenges in capturing the economic value generated by digital activities. As a response, governments worldwide have sought to adapt tax policies to address the unique characteristics of digital business models and ensure a fair distribution of tax burdens. The implementation of digital taxes represents a paradigm shift in taxation practices, reflecting efforts to modernize tax systems and mitigate tax avoidance strategies employed by multinational digital corporations.</w:t>
      </w:r>
    </w:p>
    <w:p w14:paraId="51536EC3"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 xml:space="preserve">The focus of this research lies in exploring the implications of digital taxes on financial management practices within multinational companies. MNCs operate across borders, engaging in diverse business activities that span multiple jurisdictions. Consequently, they are subject to varying tax regulations and </w:t>
      </w:r>
      <w:r w:rsidRPr="00BC5F52">
        <w:rPr>
          <w:rFonts w:ascii="EB Garamond" w:eastAsia="EB Garamond" w:hAnsi="EB Garamond" w:cs="EB Garamond"/>
          <w:color w:val="000000"/>
          <w:sz w:val="20"/>
          <w:szCs w:val="20"/>
        </w:rPr>
        <w:lastRenderedPageBreak/>
        <w:t>regimes, including digital taxation measures introduced by host countries. The implementation of digital taxes can have multifaceted impacts on the financial management strategies of MNCs, influencing their profit repatriation, transfer pricing practices, tax compliance costs, and overall financial performance. Understanding these implications is crucial for MNCs to effectively navigate the complexities of digital taxation and optimize their financial management practices.</w:t>
      </w:r>
    </w:p>
    <w:p w14:paraId="08CD1977"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The phenomenon of digital taxation has emerged as a response to the challenges posed by the digitalization of economies. Traditional tax principles, such as permanent establishment and physical presence, have become inadequate in capturing the value created by digital transactions, leading to concerns regarding tax fairness and revenue erosion. The proliferation of digital business models, characterized by intangible assets, data-driven operations, and borderless transactions, has further exacerbated these challenges. As governments grapple with the need to adapt tax policies to the digital age, the implementation of digital taxes has become a focal point of international tax reform efforts, shaping the future landscape of global taxation.</w:t>
      </w:r>
    </w:p>
    <w:p w14:paraId="3F56AFEA"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Previous research on the implementation of digital taxes has provided valuable insights into the economic, legal, and managerial implications of digital taxation for businesses and governments. Scholars have examined various aspects of digital taxation, including its impact on consumer behavior, market competitiveness, and tax revenue generation. However, there remains a gap in the literature concerning the specific implications of digital taxes on financial management practices within multinational companies. This research seeks to address this gap by conducting a quantitative descriptive analysis that elucidates the financial implications of digital taxes for MNCs, offering practical insights for financial managers and policymakers alike. The implementation of digital taxes has significant implications for financial management in multinational companies. Ndedi (2021) and Noonan (2020) both highlight the challenges faced by governments in taxing digital multinational companies, with Noonan specifically discussing the legal and political advantages of digital services taxes. Mavroidis (2020) emphasizes the need for a negotiated solution that aligns with international trade agreements, while Feige (2017) suggests a small, globally adopted Automatic Payment Transaction tax as a potential solution. These studies collectively underscore the complexity of digital taxation and the need for a coordinated, international approach.</w:t>
      </w:r>
    </w:p>
    <w:p w14:paraId="7BA77AFF"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The primary objective of this research is to analyze the implications of digital taxes on financial management practices within multinational companies. Specifically, the research aims to:</w:t>
      </w:r>
    </w:p>
    <w:p w14:paraId="6326846B"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57B2D968" w14:textId="77777777" w:rsidR="00BC5F52" w:rsidRPr="00BC5F52" w:rsidRDefault="00BC5F52" w:rsidP="00BC5F52">
      <w:pPr>
        <w:pStyle w:val="ListParagraph"/>
        <w:numPr>
          <w:ilvl w:val="0"/>
          <w:numId w:val="26"/>
        </w:numPr>
        <w:pBdr>
          <w:top w:val="nil"/>
          <w:left w:val="nil"/>
          <w:bottom w:val="nil"/>
          <w:right w:val="nil"/>
          <w:between w:val="nil"/>
        </w:pBdr>
        <w:spacing w:after="0" w:line="240" w:lineRule="auto"/>
        <w:ind w:left="180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Evaluate the impact of digital taxes on the financial performance of MNCs, including profitability, tax liabilities, and cash flow management.</w:t>
      </w:r>
    </w:p>
    <w:p w14:paraId="034B5123" w14:textId="77777777" w:rsidR="00BC5F52" w:rsidRPr="00BC5F52" w:rsidRDefault="00BC5F52" w:rsidP="00BC5F52">
      <w:pPr>
        <w:pStyle w:val="ListParagraph"/>
        <w:numPr>
          <w:ilvl w:val="0"/>
          <w:numId w:val="26"/>
        </w:numPr>
        <w:pBdr>
          <w:top w:val="nil"/>
          <w:left w:val="nil"/>
          <w:bottom w:val="nil"/>
          <w:right w:val="nil"/>
          <w:between w:val="nil"/>
        </w:pBdr>
        <w:spacing w:after="0" w:line="240" w:lineRule="auto"/>
        <w:ind w:left="180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Examine the strategies employed by MNCs to adapt to digital taxation regimes and mitigate associated risks and costs.</w:t>
      </w:r>
    </w:p>
    <w:p w14:paraId="7B7463D5" w14:textId="77777777" w:rsidR="00BC5F52" w:rsidRPr="00BC5F52" w:rsidRDefault="00BC5F52" w:rsidP="00BC5F52">
      <w:pPr>
        <w:pStyle w:val="ListParagraph"/>
        <w:numPr>
          <w:ilvl w:val="0"/>
          <w:numId w:val="26"/>
        </w:numPr>
        <w:pBdr>
          <w:top w:val="nil"/>
          <w:left w:val="nil"/>
          <w:bottom w:val="nil"/>
          <w:right w:val="nil"/>
          <w:between w:val="nil"/>
        </w:pBdr>
        <w:spacing w:after="0" w:line="240" w:lineRule="auto"/>
        <w:ind w:left="180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Assess the effectiveness of existing financial management practices in addressing the challenges posed by digital taxation.</w:t>
      </w:r>
    </w:p>
    <w:p w14:paraId="3B26E475" w14:textId="77777777" w:rsidR="00BC5F52" w:rsidRPr="00BC5F52" w:rsidRDefault="00BC5F52" w:rsidP="00BC5F52">
      <w:pPr>
        <w:pStyle w:val="ListParagraph"/>
        <w:numPr>
          <w:ilvl w:val="0"/>
          <w:numId w:val="26"/>
        </w:numPr>
        <w:pBdr>
          <w:top w:val="nil"/>
          <w:left w:val="nil"/>
          <w:bottom w:val="nil"/>
          <w:right w:val="nil"/>
          <w:between w:val="nil"/>
        </w:pBdr>
        <w:spacing w:after="0" w:line="240" w:lineRule="auto"/>
        <w:ind w:left="180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Provide recommendations for enhancing the financial resilience and competitiveness of MNCs in the digital tax environment.</w:t>
      </w:r>
    </w:p>
    <w:p w14:paraId="5E1733A5"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61C31AEE" w14:textId="3B25244C" w:rsidR="006D7633"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By achieving these objectives, this research endeavors to contribute to the existing body of knowledge on digital taxation and inform stakeholders about the implications of digital taxes for financial management in multinational companies. The implementation of digital taxes represents a significant development in the realm of international taxation, with far-reaching implications for multinational companies. By comprehensively examining the financial management implications of digital taxation, this research aims to provide valuable insights that can inform decision-making processes and contribute to the ongoing discourse surrounding tax policy and corporate governance in the digital age.</w:t>
      </w:r>
    </w:p>
    <w:p w14:paraId="50F65BBD" w14:textId="77777777" w:rsidR="00DC63EE" w:rsidRDefault="00DC63EE"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6FFF6F3A" w14:textId="77777777" w:rsidR="00DC63EE" w:rsidRDefault="00DC63EE"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14ED12A0" w14:textId="77777777" w:rsidR="006D7633"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20"/>
          <w:szCs w:val="20"/>
        </w:rPr>
      </w:pPr>
    </w:p>
    <w:p w14:paraId="65F048C2" w14:textId="77777777" w:rsidR="006D7633" w:rsidRPr="00FF2A67" w:rsidRDefault="004A511C" w:rsidP="00FF2A67">
      <w:pPr>
        <w:numPr>
          <w:ilvl w:val="0"/>
          <w:numId w:val="13"/>
        </w:numPr>
        <w:pBdr>
          <w:top w:val="nil"/>
          <w:left w:val="nil"/>
          <w:bottom w:val="nil"/>
          <w:right w:val="nil"/>
          <w:between w:val="nil"/>
        </w:pBdr>
        <w:spacing w:after="0" w:line="240" w:lineRule="auto"/>
        <w:ind w:left="1560"/>
        <w:jc w:val="both"/>
        <w:rPr>
          <w:rFonts w:ascii="Corbel" w:eastAsia="Corbel" w:hAnsi="Corbel" w:cs="Corbel"/>
          <w:sz w:val="20"/>
          <w:szCs w:val="20"/>
        </w:rPr>
      </w:pPr>
      <w:r w:rsidRPr="00FF2A67">
        <w:rPr>
          <w:b/>
          <w:color w:val="7B3F00"/>
        </w:rPr>
        <w:t xml:space="preserve">Literature Review </w:t>
      </w:r>
    </w:p>
    <w:p w14:paraId="4E242300" w14:textId="77777777" w:rsidR="00FF2A67" w:rsidRPr="00FF2A67" w:rsidRDefault="00FF2A67" w:rsidP="00FF2A67">
      <w:pPr>
        <w:pBdr>
          <w:top w:val="nil"/>
          <w:left w:val="nil"/>
          <w:bottom w:val="nil"/>
          <w:right w:val="nil"/>
          <w:between w:val="nil"/>
        </w:pBdr>
        <w:spacing w:after="0" w:line="240" w:lineRule="auto"/>
        <w:ind w:left="1560"/>
        <w:jc w:val="both"/>
        <w:rPr>
          <w:rFonts w:ascii="Corbel" w:eastAsia="Corbel" w:hAnsi="Corbel" w:cs="Corbel"/>
          <w:sz w:val="20"/>
          <w:szCs w:val="20"/>
        </w:rPr>
      </w:pPr>
    </w:p>
    <w:p w14:paraId="7F10BAFA" w14:textId="77777777" w:rsidR="00BC5F52" w:rsidRPr="00BC5F52" w:rsidRDefault="00136A40"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Pr>
          <w:rFonts w:ascii="EB Garamond" w:eastAsia="EB Garamond" w:hAnsi="EB Garamond" w:cs="EB Garamond"/>
          <w:color w:val="000000"/>
          <w:sz w:val="20"/>
          <w:szCs w:val="20"/>
        </w:rPr>
        <w:lastRenderedPageBreak/>
        <w:t xml:space="preserve"> </w:t>
      </w:r>
      <w:r w:rsidR="00BC5F52" w:rsidRPr="00BC5F52">
        <w:rPr>
          <w:rFonts w:ascii="EB Garamond" w:eastAsia="EB Garamond" w:hAnsi="EB Garamond" w:cs="EB Garamond"/>
          <w:color w:val="000000"/>
          <w:sz w:val="20"/>
          <w:szCs w:val="20"/>
        </w:rPr>
        <w:t>The implementation of digital taxes and its implications for financial management in multinational companies have garnered significant scholarly attention in recent years. This literature review aims to provide a comprehensive overview of relevant studies, definitions, and specific explanations pertinent to this research topic, drawing insights from a wide range of academic sources.</w:t>
      </w:r>
    </w:p>
    <w:p w14:paraId="3FE1F4F1"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5A7E9F96" w14:textId="15778792" w:rsidR="00BC5F52" w:rsidRPr="00BC5F52" w:rsidRDefault="00BC5F52" w:rsidP="00BC5F52">
      <w:pPr>
        <w:pStyle w:val="ListParagraph"/>
        <w:numPr>
          <w:ilvl w:val="1"/>
          <w:numId w:val="13"/>
        </w:numPr>
        <w:pBdr>
          <w:top w:val="nil"/>
          <w:left w:val="nil"/>
          <w:bottom w:val="nil"/>
          <w:right w:val="nil"/>
          <w:between w:val="nil"/>
        </w:pBdr>
        <w:spacing w:after="0" w:line="240" w:lineRule="auto"/>
        <w:ind w:left="1560"/>
        <w:jc w:val="both"/>
        <w:rPr>
          <w:rFonts w:ascii="Corbel" w:eastAsia="Corbel" w:hAnsi="Corbel" w:cs="Corbel"/>
          <w:bCs/>
          <w:i/>
          <w:iCs/>
          <w:color w:val="7B3F00"/>
          <w:lang w:eastAsia="id-ID"/>
        </w:rPr>
      </w:pPr>
      <w:r w:rsidRPr="00BC5F52">
        <w:rPr>
          <w:rFonts w:ascii="Corbel" w:eastAsia="Corbel" w:hAnsi="Corbel" w:cs="Corbel"/>
          <w:bCs/>
          <w:i/>
          <w:iCs/>
          <w:color w:val="7B3F00"/>
          <w:lang w:eastAsia="id-ID"/>
        </w:rPr>
        <w:t>Digital Taxation: Definitions and Frameworks</w:t>
      </w:r>
    </w:p>
    <w:p w14:paraId="46BD15C2"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5EF88C44"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Digital taxation, commonly referred to as digital services tax (DST) or digital economy tax, has emerged as a pivotal policy response to the challenges posed by the digitalization of economies. This taxation paradigm involves levying taxes on digital transactions, services, and activities conducted by businesses operating within the digital sphere (OECD, 2020). The evolution of digital taxation reflects the growing recognition of the inadequacies of traditional tax frameworks in capturing the economic value generated by digital activities (Cnossen, 2018). As digitalization continues to reshape global commerce, policymakers worldwide are grappling with the need to adapt tax policies to ensure fairness, efficiency, and sustainability in the digital economy. Recent research underscores the dynamic nature of digital taxation frameworks, highlighting the diverse approaches adopted by different jurisdictions to address the tax challenges posed by digitalization. For instance, some countries have implemented specific digital taxes targeting revenues derived from digital advertising, online marketplaces, and digital services (OECD, 2021). These measures aim to capture the value created by digital platforms and ensure that digital companies contribute their fair share to public revenues. However, the effectiveness and impact of such targeted digital taxes remain subject to debate, with concerns raised about their potential to distort market competition and hinder innovation (Clausing, 2020).</w:t>
      </w:r>
    </w:p>
    <w:p w14:paraId="0029EFEA"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In contrast, other jurisdictions have pursued broader reforms aimed at adapting corporate tax rules to the realities of the digital economy (Zucman, 2019). These reforms often involve proposals for international cooperation and coordination to address the challenges of taxing digital businesses operating across borders (Avi-Yonah, 2021). For example, the Organisation for Economic Co-operation and Development (OECD) has led efforts to develop a consensus-based solution to the tax challenges arising from digitalization, known as the "Pillar One" and "Pillar Two" proposals (OECD, 2021). These proposals seek to reallocate taxing rights and establish a global minimum tax rate to ensure that multinational digital companies are taxed appropriately based on their economic activities and profits. Recent studies have also examined the implications of digital taxation for various stakeholders, including businesses, consumers, and governments. Research indicates that digital taxes can impact consumer behavior, market competitiveness, and tax revenue generation (Chari &amp; Vasudevan, 2021). Moreover, digital taxation regimes may influence the strategies and operations of multinational companies (MNCs), particularly those operating in the digital sector. MNCs may need to reassess their transfer pricing practices, profit repatriation strategies, and tax compliance procedures to navigate the complexities of digital taxation and optimize their tax outcomes (Desai &amp; Dharmapala, 2020). The evolution of digital taxation reflects the ongoing efforts to modernize tax policies and address the challenges of the digital economy. Recent research highlights the diversity of approaches adopted by jurisdictions worldwide and underscores the need for international cooperation to develop effective and equitable solutions to the tax challenges posed by digitalization. Moving forward, further research is needed to assess the impact of digital taxation on business behavior, market dynamics, and tax policy outcomes in an increasingly digitalized world.</w:t>
      </w:r>
    </w:p>
    <w:p w14:paraId="63E58400"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7705E358" w14:textId="77777777" w:rsidR="00BC5F52" w:rsidRPr="00BC5F52" w:rsidRDefault="00BC5F52" w:rsidP="00BC5F52">
      <w:pPr>
        <w:pStyle w:val="ListParagraph"/>
        <w:numPr>
          <w:ilvl w:val="1"/>
          <w:numId w:val="13"/>
        </w:numPr>
        <w:pBdr>
          <w:top w:val="nil"/>
          <w:left w:val="nil"/>
          <w:bottom w:val="nil"/>
          <w:right w:val="nil"/>
          <w:between w:val="nil"/>
        </w:pBdr>
        <w:spacing w:after="0" w:line="240" w:lineRule="auto"/>
        <w:ind w:left="1560"/>
        <w:jc w:val="both"/>
        <w:rPr>
          <w:rFonts w:ascii="Corbel" w:eastAsia="Corbel" w:hAnsi="Corbel" w:cs="Corbel"/>
          <w:bCs/>
          <w:i/>
          <w:iCs/>
          <w:color w:val="7B3F00"/>
          <w:lang w:eastAsia="id-ID"/>
        </w:rPr>
      </w:pPr>
      <w:r w:rsidRPr="00BC5F52">
        <w:rPr>
          <w:rFonts w:ascii="Corbel" w:eastAsia="Corbel" w:hAnsi="Corbel" w:cs="Corbel"/>
          <w:bCs/>
          <w:i/>
          <w:iCs/>
          <w:color w:val="7B3F00"/>
          <w:lang w:eastAsia="id-ID"/>
        </w:rPr>
        <w:t>Implications for Financial Management in Multinational Companies</w:t>
      </w:r>
    </w:p>
    <w:p w14:paraId="37EF8C0C"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7BDC838B"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 xml:space="preserve">The implications of digital taxes for financial management practices within multinational companies (MNCs) are indeed multifaceted and complex. MNCs, being global entities, operate across borders, engaging in diverse business activities that span multiple jurisdictions. Consequently, they are subject to varying tax regulations and regimes, including digital taxation measures introduced by host countries (Richter, 2021). Recent research has shed light on the evolving landscape of digital taxation and its impact on various aspects of financial management in MNCs. One key area of concern is profit repatriation, which refers to the transfer of profits earned by foreign subsidiaries back to the parent </w:t>
      </w:r>
      <w:r w:rsidRPr="00BC5F52">
        <w:rPr>
          <w:rFonts w:ascii="EB Garamond" w:eastAsia="EB Garamond" w:hAnsi="EB Garamond" w:cs="EB Garamond"/>
          <w:color w:val="000000"/>
          <w:sz w:val="20"/>
          <w:szCs w:val="20"/>
        </w:rPr>
        <w:lastRenderedPageBreak/>
        <w:t>company's home country. Digital taxation regimes may influence MNCs' decisions regarding profit repatriation, as they seek to optimize their after-tax returns and manage their global cash flows (Desai &amp; Dharmapala, 2019). Recent studies have highlighted the importance of considering the tax implications of profit repatriation decisions, as digital taxes can affect the overall profitability and financial flexibility of MNCs (Clausing, 2020).</w:t>
      </w:r>
    </w:p>
    <w:p w14:paraId="55AF6DDF"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Transfer pricing practices also come under scrutiny in the context of digital taxation. Transfer pricing involves the pricing of goods, services, and intangible assets transferred between affiliated entities within a multinational enterprise. The implementation of digital taxes may necessitate adjustments to transfer pricing arrangements to reflect the value created by digital activities and ensure arm's length pricing (Crescenzi et al., 2020). Recent research has emphasized the need for MNCs to align their transfer pricing practices with evolving digital taxation frameworks to mitigate the risk of tax disputes and penalties (Ludvigson &amp; McNulty, 2019). Moreover, digital taxation can impose significant tax compliance costs on MNCs, particularly those operating in multiple jurisdictions with diverse tax regimes (Hines, 2019). Compliance costs may include expenses related to tax advisory services, tax planning, and tax compliance activities aimed at navigating the complexities of digital taxation and ensuring regulatory compliance (Baldwin &amp; Weder di Mauro, 2020). Recent studies have underscored the importance of adopting technology solutions, such as enterprise resource planning (ERP) systems and tax compliance software, to streamline tax compliance processes and enhance MNCs' ability to manage regulatory requirements (PwC, 2021).</w:t>
      </w:r>
    </w:p>
    <w:p w14:paraId="4616DFF3"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Overall, the implications of digital taxes for financial management in MNCs are significant and far-reaching. By understanding the multifaceted impacts of digital taxation on profit repatriation, transfer pricing practices, tax compliance costs, and overall financial performance, MNCs can develop strategies to navigate the complexities of digital taxation effectively and optimize their financial outcomes in an increasingly digitalized world.</w:t>
      </w:r>
    </w:p>
    <w:p w14:paraId="769A423E"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16EC43FB" w14:textId="77777777" w:rsidR="00BC5F52" w:rsidRPr="00BC5F52" w:rsidRDefault="00BC5F52" w:rsidP="00BC5F52">
      <w:pPr>
        <w:pStyle w:val="ListParagraph"/>
        <w:numPr>
          <w:ilvl w:val="1"/>
          <w:numId w:val="13"/>
        </w:numPr>
        <w:pBdr>
          <w:top w:val="nil"/>
          <w:left w:val="nil"/>
          <w:bottom w:val="nil"/>
          <w:right w:val="nil"/>
          <w:between w:val="nil"/>
        </w:pBdr>
        <w:spacing w:after="0" w:line="240" w:lineRule="auto"/>
        <w:ind w:left="1560"/>
        <w:jc w:val="both"/>
        <w:rPr>
          <w:rFonts w:ascii="Corbel" w:eastAsia="Corbel" w:hAnsi="Corbel" w:cs="Corbel"/>
          <w:bCs/>
          <w:i/>
          <w:iCs/>
          <w:color w:val="7B3F00"/>
          <w:lang w:eastAsia="id-ID"/>
        </w:rPr>
      </w:pPr>
      <w:r w:rsidRPr="00BC5F52">
        <w:rPr>
          <w:rFonts w:ascii="Corbel" w:eastAsia="Corbel" w:hAnsi="Corbel" w:cs="Corbel"/>
          <w:bCs/>
          <w:i/>
          <w:iCs/>
          <w:color w:val="7B3F00"/>
          <w:lang w:eastAsia="id-ID"/>
        </w:rPr>
        <w:t>Transfer Pricing and Profit Repatriation</w:t>
      </w:r>
    </w:p>
    <w:p w14:paraId="00F8A69D"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5E1C91E0"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Digital taxation regimes have become increasingly relevant for multinational companies (MNCs), necessitating a reassessment of their transfer pricing strategies to ensure compliance with tax regulations and optimize tax liabilities (Ludvigson &amp; McNulty, 2019). Transfer pricing, the pricing of goods, services, and intangible assets exchanged between affiliated entities within an MNC, plays a crucial role in determining taxable profits in different jurisdictions (OECD, 2021). The implementation of digital taxes introduces complexities that require adjustments to transfer pricing arrangements to accurately reflect the value generated by digital activities and ensure arm's length pricing (Crescenzi et al., 2020). Recent research highlights the evolving landscape of transfer pricing in the context of digital taxation, emphasizing the need for MNCs to navigate the complexities of allocating profits across jurisdictions (Clausing, 2020). Digital taxation regimes challenge traditional transfer pricing methodologies, prompting MNCs to adopt new approaches that account for the unique characteristics of digital business models (Avi-Yonah, 2021). For example, the use of algorithms and data-driven analytics in setting transfer prices for digital goods and services has become a subject of increased scrutiny by tax authorities (OECD, 2020).</w:t>
      </w:r>
    </w:p>
    <w:p w14:paraId="09152B1A"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 xml:space="preserve">Furthermore, digital taxes influence MNCs' decisions regarding profit repatriation, as they seek to optimize after-tax returns and manage global cash flows (Desai &amp; Dharmapala, 2019). Recent studies highlight the importance of considering the tax implications of profit repatriation strategies in light of digital taxation regimes (Chari &amp; Vasudevan, 2021). MNCs may employ various techniques, such as intercompany loans, dividends, and royalties, to repatriate profits in a tax-efficient manner while complying with transfer pricing rules and other regulatory requirements (Mayer, 2020). In response to the challenges posed by digital taxation, MNCs are exploring innovative solutions to enhance tax efficiency and mitigate risks (Mintz &amp; Weiner, 2019). Recent research underscores the role of advanced technologies, such as blockchain and artificial intelligence, in facilitating transfer pricing compliance and improving transparency in intercompany transactions (PwC, 2021). Moreover, collaborative efforts between MNCs, tax authorities, and international organizations are essential for developing practical guidelines and best practices for transfer pricing in the digital age (Zucman, 2019).Overall, the </w:t>
      </w:r>
      <w:r w:rsidRPr="00BC5F52">
        <w:rPr>
          <w:rFonts w:ascii="EB Garamond" w:eastAsia="EB Garamond" w:hAnsi="EB Garamond" w:cs="EB Garamond"/>
          <w:color w:val="000000"/>
          <w:sz w:val="20"/>
          <w:szCs w:val="20"/>
        </w:rPr>
        <w:lastRenderedPageBreak/>
        <w:t>evolving landscape of digital taxation presents both challenges and opportunities for MNCs in managing their transfer pricing strategies and profit repatriation decisions. By staying abreast of the latest developments in digital taxation and leveraging technological advancements, MNCs can navigate the complexities of transfer pricing compliance and optimize their tax outcomes in an increasingly digitalized world.</w:t>
      </w:r>
    </w:p>
    <w:p w14:paraId="0C233288"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3D5633B8" w14:textId="77777777" w:rsidR="00BC5F52" w:rsidRPr="00BC5F52" w:rsidRDefault="00BC5F52" w:rsidP="00BC5F52">
      <w:pPr>
        <w:pStyle w:val="ListParagraph"/>
        <w:numPr>
          <w:ilvl w:val="1"/>
          <w:numId w:val="13"/>
        </w:numPr>
        <w:pBdr>
          <w:top w:val="nil"/>
          <w:left w:val="nil"/>
          <w:bottom w:val="nil"/>
          <w:right w:val="nil"/>
          <w:between w:val="nil"/>
        </w:pBdr>
        <w:spacing w:after="0" w:line="240" w:lineRule="auto"/>
        <w:ind w:left="1560"/>
        <w:jc w:val="both"/>
        <w:rPr>
          <w:rFonts w:ascii="Corbel" w:eastAsia="Corbel" w:hAnsi="Corbel" w:cs="Corbel"/>
          <w:bCs/>
          <w:i/>
          <w:iCs/>
          <w:color w:val="7B3F00"/>
          <w:lang w:eastAsia="id-ID"/>
        </w:rPr>
      </w:pPr>
      <w:r w:rsidRPr="00BC5F52">
        <w:rPr>
          <w:rFonts w:ascii="Corbel" w:eastAsia="Corbel" w:hAnsi="Corbel" w:cs="Corbel"/>
          <w:bCs/>
          <w:i/>
          <w:iCs/>
          <w:color w:val="7B3F00"/>
          <w:lang w:eastAsia="id-ID"/>
        </w:rPr>
        <w:t>Tax Compliance Costs and Financial Performance</w:t>
      </w:r>
    </w:p>
    <w:p w14:paraId="2F0AE90B"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509B249C"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The compliance costs associated with digital taxation represent a significant challenge for multinational companies (MNCs), especially those operating in diverse tax jurisdictions (Hines, 2019). Recent research has shed light on the escalating complexities and costs involved in ensuring compliance with evolving digital taxation regimes. MNCs may incur substantial expenses related to tax advisory services, tax planning, and tax compliance activities to navigate the intricate landscape of digital taxation and ensure regulatory adherence (Baldwin &amp; Weder di Mauro, 2020). These compliance costs encompass a wide range of activities, including conducting tax risk assessments, implementing internal controls, and adapting IT systems to comply with new reporting requirements (PwC, 2021). Such expenditures can strain MNCs' financial resources and impact their profitability by increasing operating expenses (Chari &amp; Vasudevan, 2021).</w:t>
      </w:r>
    </w:p>
    <w:p w14:paraId="6AD857CD"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Moreover, the uncertainty surrounding digital taxation regimes and the potential for disputes with tax authorities pose additional risks and costs for MNCs (Clausing, 2020). Recent studies highlight the challenges faced by MNCs in interpreting and applying digital taxation rules, particularly in the absence of clear guidelines and precedents (Avi-Yonah, 2021). The lack of international consensus on digital taxation issues further exacerbates uncertainty, leading to divergent interpretations and enforcement practices across jurisdictions (OECD, 2021). The implications of compliance costs and uncertainty in digital taxation extend beyond financial considerations and can affect investor confidence and market valuations (Desai &amp; Dharmapala, 2019). Recent research underscores the importance of transparency and disclosure in mitigating tax-related risks and enhancing stakeholder trust (Mayer, 2020). MNCs that proactively address tax compliance challenges and communicate their tax strategies effectively are better positioned to maintain investor confidence and preserve market value (Zucman, 2019).</w:t>
      </w:r>
    </w:p>
    <w:p w14:paraId="08AD393B"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In response to the challenges posed by digital taxation, MNCs are adopting proactive measures to streamline compliance processes and mitigate risks (Mintz &amp; Weiner, 2019). Recent developments in technology, such as automation and data analytics, are enabling MNCs to improve the efficiency and accuracy of tax compliance activities (OECD, 2020). Collaborative initiatives between MNCs, tax authorities, and industry groups are also emerging to address common challenges and promote best practices in digital tax compliance (Richter, 2021). Overall, the compliance costs and uncertainty associated with digital taxation represent significant challenges for MNCs, impacting their financial performance, risk management, and stakeholder relations. By leveraging technology, fostering collaboration, and adopting proactive tax strategies, MNCs can navigate the complexities of digital taxation more effectively and enhance their competitive position in the global marketplace.</w:t>
      </w:r>
    </w:p>
    <w:p w14:paraId="78793351"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5CB2B50B" w14:textId="77777777" w:rsidR="00BC5F52" w:rsidRPr="00BC5F52" w:rsidRDefault="00BC5F52" w:rsidP="00BC5F52">
      <w:pPr>
        <w:pStyle w:val="ListParagraph"/>
        <w:numPr>
          <w:ilvl w:val="1"/>
          <w:numId w:val="13"/>
        </w:numPr>
        <w:pBdr>
          <w:top w:val="nil"/>
          <w:left w:val="nil"/>
          <w:bottom w:val="nil"/>
          <w:right w:val="nil"/>
          <w:between w:val="nil"/>
        </w:pBdr>
        <w:spacing w:after="0" w:line="240" w:lineRule="auto"/>
        <w:ind w:left="1620"/>
        <w:jc w:val="both"/>
        <w:rPr>
          <w:rFonts w:asciiTheme="majorHAnsi" w:eastAsia="EB Garamond" w:hAnsiTheme="majorHAnsi" w:cstheme="majorHAnsi"/>
          <w:i/>
          <w:iCs/>
          <w:color w:val="7B3F00"/>
          <w:sz w:val="20"/>
          <w:szCs w:val="20"/>
        </w:rPr>
      </w:pPr>
      <w:r w:rsidRPr="00BC5F52">
        <w:rPr>
          <w:rFonts w:asciiTheme="majorHAnsi" w:eastAsia="EB Garamond" w:hAnsiTheme="majorHAnsi" w:cstheme="majorHAnsi"/>
          <w:i/>
          <w:iCs/>
          <w:color w:val="7B3F00"/>
          <w:sz w:val="20"/>
          <w:szCs w:val="20"/>
        </w:rPr>
        <w:t>Adaptive Strategies and Financial Resilience</w:t>
      </w:r>
    </w:p>
    <w:p w14:paraId="4ED84255"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5975A0D4"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In response to the challenges posed by digital taxation, multinational companies (MNCs) are adopting a range of adaptive strategies to enhance their financial resilience and mitigate associated risks (Mayer, 2020). Recent research underscores the dynamic nature of these strategies and their evolving role in navigating the complexities of digital taxation. One key strategy employed by MNCs is the restructuring of their business operations to optimize tax efficiency and adapt to changing regulatory environments (Clausing, 2020). Recent studies highlight the importance of aligning corporate structures with digital taxation frameworks to minimize tax liabilities and enhance transparency (Avi-Yonah, 2021). MNCs may engage in reorganizations, mergers, or divestitures to realign their global footprint and ensure compliance with evolving tax regulations (OECD, 2021).</w:t>
      </w:r>
    </w:p>
    <w:p w14:paraId="10A7B8B7" w14:textId="77777777" w:rsidR="00BC5F52" w:rsidRPr="00BC5F52"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 xml:space="preserve">Furthermore, MNCs are reallocating resources to leverage tax incentives and optimize their tax positions in various jurisdictions (Desai &amp; Dharmapala, 2019). Recent research emphasizes the strategic </w:t>
      </w:r>
      <w:r w:rsidRPr="00BC5F52">
        <w:rPr>
          <w:rFonts w:ascii="EB Garamond" w:eastAsia="EB Garamond" w:hAnsi="EB Garamond" w:cs="EB Garamond"/>
          <w:color w:val="000000"/>
          <w:sz w:val="20"/>
          <w:szCs w:val="20"/>
        </w:rPr>
        <w:lastRenderedPageBreak/>
        <w:t>importance of location decisions and investment planning in maximizing tax benefits and minimizing risks associated with digital taxation (Hines, 2019). MNCs may prioritize investments in jurisdictions with favorable tax regimes or establish regional hubs to centralize operations and simplify tax compliance (Chari &amp; Vasudevan, 2021). In addition to strategic realignment, MNCs are increasingly leveraging technology solutions to streamline tax compliance processes and enhance regulatory compliance (PwC, 2021). Advanced technologies, such as artificial intelligence and data analytics, enable MNCs to automate tax reporting, monitor regulatory changes, and identify tax planning opportunities (OECD, 2020). Recent studies highlight the role of enterprise resource planning (ERP) systems and tax compliance software in improving efficiency and accuracy in tax-related activities (Baldwin &amp; Weder di Mauro, 2020).</w:t>
      </w:r>
    </w:p>
    <w:p w14:paraId="5F86AB6A" w14:textId="0D65F3D7" w:rsidR="006D7633" w:rsidRDefault="00BC5F52" w:rsidP="00BC5F52">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Moreover, MNCs are investing in talent development and capacity building to enhance their internal capabilities in managing digital taxation risks (Mintz &amp; Weiner, 2019). Recent research underscores the importance of tax expertise and cross-functional collaboration in effectively navigating the complexities of digital taxation (Zucman, 2019). By fostering a culture of compliance and investing in training programs, MNCs can strengthen their resilience to tax-related challenges and ensure sustainable growth in the digital age (Richter, 2021). The adoption of adaptive strategies by MNCs is essential for maintaining financial competitiveness and resilience in the face of evolving digital taxation regimes. By combining strategic realignment, technological innovation, and talent development, MNCs can effectively navigate the complexities of digital taxation and capitalize on emerging opportunities in the global marketplace.</w:t>
      </w:r>
    </w:p>
    <w:p w14:paraId="4C6AE1F1" w14:textId="77777777" w:rsidR="006D7633" w:rsidRDefault="006D7633">
      <w:pPr>
        <w:pBdr>
          <w:top w:val="nil"/>
          <w:left w:val="nil"/>
          <w:bottom w:val="nil"/>
          <w:right w:val="nil"/>
          <w:between w:val="nil"/>
        </w:pBdr>
        <w:spacing w:after="0" w:line="240" w:lineRule="auto"/>
        <w:ind w:left="2835" w:hanging="425"/>
        <w:jc w:val="both"/>
        <w:rPr>
          <w:rFonts w:ascii="EB Garamond" w:eastAsia="EB Garamond" w:hAnsi="EB Garamond" w:cs="EB Garamond"/>
          <w:color w:val="000000"/>
          <w:sz w:val="20"/>
          <w:szCs w:val="20"/>
        </w:rPr>
      </w:pPr>
    </w:p>
    <w:p w14:paraId="3B6AABA0" w14:textId="77777777" w:rsidR="006D7633" w:rsidRPr="00FF2A67" w:rsidRDefault="004A511C">
      <w:pPr>
        <w:numPr>
          <w:ilvl w:val="0"/>
          <w:numId w:val="13"/>
        </w:numPr>
        <w:pBdr>
          <w:top w:val="nil"/>
          <w:left w:val="nil"/>
          <w:bottom w:val="nil"/>
          <w:right w:val="nil"/>
          <w:between w:val="nil"/>
        </w:pBdr>
        <w:spacing w:after="0" w:line="240" w:lineRule="auto"/>
        <w:ind w:left="1560"/>
        <w:jc w:val="both"/>
        <w:rPr>
          <w:rFonts w:ascii="Corbel" w:eastAsia="Corbel" w:hAnsi="Corbel" w:cs="Corbel"/>
          <w:b/>
          <w:color w:val="7B3F00"/>
        </w:rPr>
      </w:pPr>
      <w:r w:rsidRPr="00FF2A67">
        <w:rPr>
          <w:b/>
          <w:color w:val="7B3F00"/>
        </w:rPr>
        <w:t>Research Method and Materials</w:t>
      </w:r>
      <w:r w:rsidRPr="00FF2A67">
        <w:rPr>
          <w:rFonts w:ascii="Corbel" w:eastAsia="Corbel" w:hAnsi="Corbel" w:cs="Corbel"/>
          <w:b/>
          <w:color w:val="7B3F00"/>
        </w:rPr>
        <w:t xml:space="preserve"> </w:t>
      </w:r>
    </w:p>
    <w:p w14:paraId="0646E123" w14:textId="77777777" w:rsidR="006D7633" w:rsidRPr="00FF2A67"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7B3F00"/>
          <w:sz w:val="18"/>
          <w:szCs w:val="18"/>
        </w:rPr>
      </w:pPr>
    </w:p>
    <w:p w14:paraId="301E867A"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The research methodology adopted for this study employs a qualitative approach to explore and analyze the literature related to digital taxation and its implications for multinational companies (MNCs). Qualitative research offers a valuable means of understanding complex phenomena, such as the evolving landscape of digital taxation, by examining the meanings, perspectives, and experiences of individuals and organizations involved (Creswell &amp; Poth, 2018). In this section, the key components of the qualitative research methodology, including research design, data collection methods, data analysis techniques, and ethical considerations, will be discussed in detail.</w:t>
      </w:r>
    </w:p>
    <w:p w14:paraId="1E19BB2F"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5C2EC1C7" w14:textId="2F6FF315" w:rsidR="00BC5F52" w:rsidRPr="00BC5F52" w:rsidRDefault="00BC5F52" w:rsidP="00BC5F52">
      <w:pPr>
        <w:pStyle w:val="ListParagraph"/>
        <w:numPr>
          <w:ilvl w:val="1"/>
          <w:numId w:val="13"/>
        </w:numPr>
        <w:pBdr>
          <w:top w:val="nil"/>
          <w:left w:val="nil"/>
          <w:bottom w:val="nil"/>
          <w:right w:val="nil"/>
          <w:between w:val="nil"/>
        </w:pBdr>
        <w:spacing w:after="0" w:line="240" w:lineRule="auto"/>
        <w:ind w:left="1620"/>
        <w:jc w:val="both"/>
        <w:rPr>
          <w:rFonts w:ascii="Corbel" w:eastAsia="Corbel" w:hAnsi="Corbel" w:cs="Corbel"/>
          <w:bCs/>
          <w:i/>
          <w:iCs/>
          <w:color w:val="7B3F00"/>
          <w:lang w:eastAsia="id-ID"/>
        </w:rPr>
      </w:pPr>
      <w:r w:rsidRPr="00BC5F52">
        <w:rPr>
          <w:rFonts w:ascii="Corbel" w:eastAsia="Corbel" w:hAnsi="Corbel" w:cs="Corbel"/>
          <w:bCs/>
          <w:i/>
          <w:iCs/>
          <w:color w:val="7B3F00"/>
          <w:lang w:eastAsia="id-ID"/>
        </w:rPr>
        <w:t>Research Design</w:t>
      </w:r>
    </w:p>
    <w:p w14:paraId="08CCE8FB"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38129810"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The research design for this study involves a systematic review of existing literature on digital taxation and its impact on MNCs. A systematic review is a rigorous method of synthesizing evidence from multiple sources to address a specific research question or objective (Grant &amp; Booth, 2009). The review will encompass a comprehensive search of academic journals, books, reports, and other relevant sources to identify studies that contribute to our understanding of digital taxation issues. The inclusion criteria for selecting literature will be based on relevance to the research topic, currency, and methodological rigor.</w:t>
      </w:r>
    </w:p>
    <w:p w14:paraId="3C605E1A"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5806DF70" w14:textId="77777777" w:rsidR="00BC5F52" w:rsidRPr="00BC5F52" w:rsidRDefault="00BC5F52" w:rsidP="00BC5F52">
      <w:pPr>
        <w:pStyle w:val="ListParagraph"/>
        <w:numPr>
          <w:ilvl w:val="1"/>
          <w:numId w:val="13"/>
        </w:numPr>
        <w:pBdr>
          <w:top w:val="nil"/>
          <w:left w:val="nil"/>
          <w:bottom w:val="nil"/>
          <w:right w:val="nil"/>
          <w:between w:val="nil"/>
        </w:pBdr>
        <w:spacing w:after="0" w:line="240" w:lineRule="auto"/>
        <w:ind w:left="1620"/>
        <w:jc w:val="both"/>
        <w:rPr>
          <w:rFonts w:ascii="Corbel" w:eastAsia="Corbel" w:hAnsi="Corbel" w:cs="Corbel"/>
          <w:bCs/>
          <w:i/>
          <w:iCs/>
          <w:color w:val="7B3F00"/>
          <w:lang w:eastAsia="id-ID"/>
        </w:rPr>
      </w:pPr>
      <w:r w:rsidRPr="00BC5F52">
        <w:rPr>
          <w:rFonts w:ascii="Corbel" w:eastAsia="Corbel" w:hAnsi="Corbel" w:cs="Corbel"/>
          <w:bCs/>
          <w:i/>
          <w:iCs/>
          <w:color w:val="7B3F00"/>
          <w:lang w:eastAsia="id-ID"/>
        </w:rPr>
        <w:t>Data Collection Methods</w:t>
      </w:r>
    </w:p>
    <w:p w14:paraId="1AB6BD48"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6F8834B7"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Data collection for the qualitative study will primarily involve the retrieval and analysis of literature from academic databases such as PubMed, Scopus, Web of Science, and Google Scholar. Keyword searches will be conducted using terms such as "digital taxation," "multinational companies," "transfer pricing," and "tax compliance" to identify relevant articles. Additionally, citation tracking and reference list scanning will be utilized to identify additional sources cited by key articles. The collected literature will be organized and managed using reference management software such as EndNote or Zotero to facilitate systematic analysis.</w:t>
      </w:r>
    </w:p>
    <w:p w14:paraId="575B4E36"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64D43FA9" w14:textId="77777777" w:rsidR="00BC5F52" w:rsidRPr="00BC5F52" w:rsidRDefault="00BC5F52" w:rsidP="00BC5F52">
      <w:pPr>
        <w:pStyle w:val="ListParagraph"/>
        <w:numPr>
          <w:ilvl w:val="1"/>
          <w:numId w:val="13"/>
        </w:numPr>
        <w:pBdr>
          <w:top w:val="nil"/>
          <w:left w:val="nil"/>
          <w:bottom w:val="nil"/>
          <w:right w:val="nil"/>
          <w:between w:val="nil"/>
        </w:pBdr>
        <w:spacing w:after="0" w:line="240" w:lineRule="auto"/>
        <w:ind w:left="1620"/>
        <w:jc w:val="both"/>
        <w:rPr>
          <w:rFonts w:ascii="EB Garamond" w:eastAsia="EB Garamond" w:hAnsi="EB Garamond" w:cs="EB Garamond"/>
          <w:color w:val="000000"/>
          <w:sz w:val="20"/>
          <w:szCs w:val="20"/>
        </w:rPr>
      </w:pPr>
      <w:r w:rsidRPr="00BC5F52">
        <w:rPr>
          <w:rFonts w:ascii="Corbel" w:eastAsia="Corbel" w:hAnsi="Corbel" w:cs="Corbel"/>
          <w:bCs/>
          <w:i/>
          <w:iCs/>
          <w:color w:val="7B3F00"/>
          <w:lang w:eastAsia="id-ID"/>
        </w:rPr>
        <w:t>Data Analysis Techniques</w:t>
      </w:r>
    </w:p>
    <w:p w14:paraId="3D9B32A0"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5F2041D"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lastRenderedPageBreak/>
        <w:t>The analysis of qualitative data will involve several iterative stages, including data coding, categorization, and thematic analysis (Braun &amp; Clarke, 2006). Initially, the retrieved literature will be screened and coded to identify key themes and concepts related to digital taxation and its implications for MNCs. This process will involve identifying recurring patterns, concepts, and arguments across the literature. Subsequently, thematic analysis will be conducted to identify overarching themes and sub-themes that capture the complexity of digital taxation issues. The analysis will be conducted iteratively, with constant comparison and refinement of emerging themes until saturation is reached.</w:t>
      </w:r>
    </w:p>
    <w:p w14:paraId="309473CD"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4A2B39D7" w14:textId="77777777" w:rsidR="00BC5F52" w:rsidRPr="00BC5F52" w:rsidRDefault="00BC5F52" w:rsidP="00BC5F52">
      <w:pPr>
        <w:pStyle w:val="ListParagraph"/>
        <w:numPr>
          <w:ilvl w:val="1"/>
          <w:numId w:val="13"/>
        </w:numPr>
        <w:pBdr>
          <w:top w:val="nil"/>
          <w:left w:val="nil"/>
          <w:bottom w:val="nil"/>
          <w:right w:val="nil"/>
          <w:between w:val="nil"/>
        </w:pBdr>
        <w:spacing w:after="0" w:line="240" w:lineRule="auto"/>
        <w:ind w:left="1620"/>
        <w:jc w:val="both"/>
        <w:rPr>
          <w:rFonts w:ascii="Corbel" w:eastAsia="Corbel" w:hAnsi="Corbel" w:cs="Corbel"/>
          <w:bCs/>
          <w:i/>
          <w:iCs/>
          <w:color w:val="7B3F00"/>
          <w:lang w:eastAsia="id-ID"/>
        </w:rPr>
      </w:pPr>
      <w:r w:rsidRPr="00BC5F52">
        <w:rPr>
          <w:rFonts w:ascii="Corbel" w:eastAsia="Corbel" w:hAnsi="Corbel" w:cs="Corbel"/>
          <w:bCs/>
          <w:i/>
          <w:iCs/>
          <w:color w:val="7B3F00"/>
          <w:lang w:eastAsia="id-ID"/>
        </w:rPr>
        <w:t>Ethical Considerations</w:t>
      </w:r>
    </w:p>
    <w:p w14:paraId="7756DA0C"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5302B983" w14:textId="59F8029B" w:rsidR="00D3538A"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18"/>
          <w:szCs w:val="18"/>
        </w:rPr>
      </w:pPr>
      <w:r w:rsidRPr="00BC5F52">
        <w:rPr>
          <w:rFonts w:ascii="EB Garamond" w:eastAsia="EB Garamond" w:hAnsi="EB Garamond" w:cs="EB Garamond"/>
          <w:color w:val="000000"/>
          <w:sz w:val="20"/>
          <w:szCs w:val="20"/>
        </w:rPr>
        <w:t>In conducting qualitative research, ethical considerations are paramount to ensure the protection of participants' rights and confidentiality (Bryman, 2016). As this study involves the analysis of existing literature, ethical concerns primarily relate to the proper citation and acknowledgment of sources. Proper referencing and attribution of ideas and findings from the literature are essential to maintain academic integrity and avoid plagiarism. Additionally, efforts will be made to critically evaluate the quality and credibility of the literature included in the study to ensure the validity and reliability of the findings.</w:t>
      </w:r>
    </w:p>
    <w:p w14:paraId="2A93B7D9" w14:textId="77777777" w:rsidR="00D3538A" w:rsidRDefault="00D3538A" w:rsidP="00D3538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000D0D5" w14:textId="77777777" w:rsidR="006D7633" w:rsidRPr="00FF2A67" w:rsidRDefault="004A511C">
      <w:pPr>
        <w:numPr>
          <w:ilvl w:val="0"/>
          <w:numId w:val="13"/>
        </w:numPr>
        <w:pBdr>
          <w:top w:val="nil"/>
          <w:left w:val="nil"/>
          <w:bottom w:val="nil"/>
          <w:right w:val="nil"/>
          <w:between w:val="nil"/>
        </w:pBdr>
        <w:spacing w:after="0" w:line="240" w:lineRule="auto"/>
        <w:ind w:left="1560"/>
        <w:jc w:val="both"/>
        <w:rPr>
          <w:color w:val="7B3F00"/>
        </w:rPr>
      </w:pPr>
      <w:r w:rsidRPr="00FF2A67">
        <w:rPr>
          <w:b/>
          <w:color w:val="7B3F00"/>
        </w:rPr>
        <w:t xml:space="preserve">Results and Discussion </w:t>
      </w:r>
    </w:p>
    <w:p w14:paraId="3A583C6B" w14:textId="77777777" w:rsidR="006D7633" w:rsidRDefault="006D7633">
      <w:pPr>
        <w:spacing w:after="0" w:line="240" w:lineRule="auto"/>
        <w:ind w:left="2410"/>
        <w:jc w:val="both"/>
        <w:rPr>
          <w:rFonts w:ascii="EB Garamond" w:eastAsia="EB Garamond" w:hAnsi="EB Garamond" w:cs="EB Garamond"/>
          <w:color w:val="000000"/>
          <w:sz w:val="18"/>
          <w:szCs w:val="18"/>
        </w:rPr>
      </w:pPr>
    </w:p>
    <w:p w14:paraId="67139B54"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Digital taxation has emerged as a significant issue impacting multinational companies (MNCs) operating in the global economy. This study employs a qualitative research methodology to explore the implications of digital taxation for the financial management practices of MNCs. The research design involves a systematic review of literature to identify key themes and insights related to digital taxation and its effects on MNCs' financial performance, transfer pricing strategies, and tax compliance costs.</w:t>
      </w:r>
    </w:p>
    <w:p w14:paraId="763AD90D"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4AA5CB5F" w14:textId="77777777" w:rsidR="00BC5F52" w:rsidRPr="00BC5F52" w:rsidRDefault="00BC5F52" w:rsidP="00BC5F52">
      <w:pPr>
        <w:pStyle w:val="ListParagraph"/>
        <w:numPr>
          <w:ilvl w:val="1"/>
          <w:numId w:val="13"/>
        </w:numPr>
        <w:pBdr>
          <w:top w:val="nil"/>
          <w:left w:val="nil"/>
          <w:bottom w:val="nil"/>
          <w:right w:val="nil"/>
          <w:between w:val="nil"/>
        </w:pBdr>
        <w:spacing w:after="0" w:line="240" w:lineRule="auto"/>
        <w:ind w:left="1620"/>
        <w:jc w:val="both"/>
        <w:rPr>
          <w:rFonts w:ascii="Corbel" w:eastAsia="Corbel" w:hAnsi="Corbel" w:cs="Corbel"/>
          <w:bCs/>
          <w:i/>
          <w:iCs/>
          <w:color w:val="7B3F00"/>
          <w:lang w:eastAsia="id-ID"/>
        </w:rPr>
      </w:pPr>
      <w:r w:rsidRPr="00BC5F52">
        <w:rPr>
          <w:rFonts w:ascii="Corbel" w:eastAsia="Corbel" w:hAnsi="Corbel" w:cs="Corbel"/>
          <w:bCs/>
          <w:i/>
          <w:iCs/>
          <w:color w:val="7B3F00"/>
          <w:lang w:eastAsia="id-ID"/>
        </w:rPr>
        <w:t>Results and Discussion</w:t>
      </w:r>
    </w:p>
    <w:p w14:paraId="5577DAE5"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721565CB"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The analysis of existing literature reveals intricate insights into the implications of digital taxation on the financial management practices of multinational companies (MNCs). Digital taxation regimes, characterized by their complexity, have compelled MNCs to reassess their transfer pricing strategies to ensure compliance with tax regulations while optimizing their tax liabilities (Ludvigson &amp; McNulty, 2019). As Ludvigson and McNulty (2019) assert, the advent of digital taxation has necessitated significant adjustments in transfer pricing methodologies, particularly in reflecting the value generated by digital activities and ensuring arm's length pricing. This adaptation is crucial for MNCs to minimize the risk of tax disputes and penalties, as highlighted by Crescenzi et al. (2020). Furthermore, the influence of digital taxation extends to MNCs' decisions regarding profit repatriation, reflecting their pursuit of after-tax optimization and global cash flow management (Desai &amp; Dharmapala, 2019). Desai and Dharmapala (2019) underscore the intricate interplay between digital taxation and profit repatriation strategies, emphasizing the need for MNCs to navigate tax-efficient avenues such as intercompany loans, dividends, and royalties. Such strategies enable MNCs to repatriate profits while adhering to transfer pricing rules and other regulatory requirements, as noted by Mayer (2020).</w:t>
      </w:r>
    </w:p>
    <w:p w14:paraId="39EF1E73"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 xml:space="preserve">From a managerial perspective, the implications of digital taxation on financial management are multifaceted and demand strategic foresight. MNCs face the challenge of balancing compliance with tax regulations and optimizing financial performance in an increasingly digitalized business environment. The complexity of digital taxation regimes requires MNCs to adopt agile transfer pricing strategies that reflect the economic substance of their digital activities. Failure to do so may expose MNCs to heightened tax risks and regulatory scrutiny, ultimately impacting their bottom line and market competitiveness. Moreover, the interplay between digital taxation and profit repatriation underscores the importance of holistic financial planning for MNCs. Profit repatriation decisions are intricately linked to tax considerations, necessitating a comprehensive understanding of transfer pricing rules and regulatory frameworks across jurisdictions. MNCs must proactively evaluate their profit </w:t>
      </w:r>
      <w:r w:rsidRPr="00BC5F52">
        <w:rPr>
          <w:rFonts w:ascii="EB Garamond" w:eastAsia="EB Garamond" w:hAnsi="EB Garamond" w:cs="EB Garamond"/>
          <w:color w:val="000000"/>
          <w:sz w:val="20"/>
          <w:szCs w:val="20"/>
        </w:rPr>
        <w:lastRenderedPageBreak/>
        <w:t>repatriation strategies to optimize after-tax returns while ensuring compliance with evolving digital taxation regimes.</w:t>
      </w:r>
    </w:p>
    <w:p w14:paraId="256FE571"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From a regulatory perspective, the challenges posed by digital taxation highlight the need for international cooperation and harmonization. The fragmented nature of digital taxation regimes across jurisdictions creates uncertainty and complexity for MNCs, often resulting in compliance burdens and increased costs. As such, policymakers and regulatory bodies must work collaboratively to develop clear guidelines and frameworks for digital taxation that promote fairness, transparency, and consistency. Furthermore, the implications of digital taxation extend beyond financial management to broader considerations such as corporate governance and stakeholder relations. MNCs must demonstrate transparency and accountability in their tax practices to maintain trust and credibility among investors, customers, and other stakeholders. Failure to do so may lead to reputational damage and erosion of shareholder value, underscoring the importance of ethical tax behavior in the digital age. The implications of digital taxation on the financial management of MNCs are profound and multifaceted, spanning transfer pricing strategies, profit repatriation decisions, regulatory compliance, and stakeholder relations. As MNCs navigate the complexities of digital taxation, they must adopt adaptive strategies that balance compliance with tax regulations and optimize financial performance. Moreover, policymakers and regulatory bodies play a crucial role in fostering international cooperation and harmonization to mitigate the challenges posed by digital taxation and promote a fair and transparent tax environment for MNCs operating in the global economy.</w:t>
      </w:r>
    </w:p>
    <w:p w14:paraId="50C1D45A"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The compliance costs associated with digital taxation represent a formidable challenge for multinational companies (MNCs), particularly those with operations spanning multiple jurisdictions (Hines, 2019). As Hines (2019) notes, the diverse tax regimes across jurisdictions necessitate MNCs to allocate significant resources towards tax advisory services, tax planning, and compliance activities to navigate the complexities of digital taxation and ensure regulatory adherence. Baldwin and Weder di Mauro (2020) emphasize that these compliance costs have a tangible impact on MNCs' financial performance, as they contribute to increased operating expenses and reduced profitability. Furthermore, the uncertainty surrounding digital taxation regimes exacerbates the challenges faced by MNCs, introducing additional risks and costs (Clausing, 2020). The lack of clarity in tax regulations and the potential for disputes with tax authorities create a climate of uncertainty, affecting investor confidence and market valuations (Clausing, 2020). MNCs must adopt adaptive strategies to enhance their financial resilience and mitigate associated risks in the face of evolving digital taxation landscapes.</w:t>
      </w:r>
    </w:p>
    <w:p w14:paraId="36FC524B"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From a managerial perspective, the implications of compliance costs and uncertainty in digital taxation demand strategic foresight and proactive measures. MNCs may consider restructuring their business operations to optimize tax efficiency and streamline compliance processes. Mintz and Weiner (2019) highlight the importance of leveraging technology solutions to enhance tax compliance, such as enterprise resource planning (ERP) systems and tax compliance software. These technological solutions enable MNCs to automate tax reporting, monitor regulatory changes, and identify tax planning opportunities, thereby reducing compliance costs and mitigating risks associated with digital taxation. Moreover, the challenges posed by digital taxation extend beyond financial considerations to broader issues such as corporate governance and stakeholder relations. MNCs must demonstrate transparency and accountability in their tax practices to maintain trust and credibility among investors, customers, and other stakeholders (Baldwin &amp; Weder di Mauro, 2020). Failure to do so may result in reputational damage and erosion of shareholder value, highlighting the importance of ethical tax behavior in the digital age.</w:t>
      </w:r>
    </w:p>
    <w:p w14:paraId="08EDD9AC"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The compliance costs and uncertainty associated with digital taxation present significant challenges for MNCs, impacting their financial performance, risk management, and stakeholder relations. Proactive measures, including technological solutions and strategic restructuring, are essential for MNCs to navigate the complexities of digital taxation effectively. Moreover, fostering transparency and accountability in tax practices is crucial for maintaining trust and credibility among stakeholders in the global marketplace. Continued research and collaboration between policymakers, regulatory bodies, and industry stakeholders are necessary to address the challenges posed by digital taxation and promote a fair and transparent tax environment for MNCs operating in the digital age.</w:t>
      </w:r>
    </w:p>
    <w:p w14:paraId="27C44778"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2FF691F9" w14:textId="77777777" w:rsidR="00BC5F52" w:rsidRPr="00BC5F52" w:rsidRDefault="00BC5F52" w:rsidP="00BC5F52">
      <w:pPr>
        <w:pStyle w:val="ListParagraph"/>
        <w:numPr>
          <w:ilvl w:val="1"/>
          <w:numId w:val="13"/>
        </w:numPr>
        <w:pBdr>
          <w:top w:val="nil"/>
          <w:left w:val="nil"/>
          <w:bottom w:val="nil"/>
          <w:right w:val="nil"/>
          <w:between w:val="nil"/>
        </w:pBdr>
        <w:spacing w:after="0" w:line="240" w:lineRule="auto"/>
        <w:ind w:left="1620"/>
        <w:jc w:val="both"/>
        <w:rPr>
          <w:rFonts w:ascii="Corbel" w:eastAsia="Corbel" w:hAnsi="Corbel" w:cs="Corbel"/>
          <w:bCs/>
          <w:i/>
          <w:iCs/>
          <w:color w:val="7B3F00"/>
          <w:lang w:eastAsia="id-ID"/>
        </w:rPr>
      </w:pPr>
      <w:r w:rsidRPr="00BC5F52">
        <w:rPr>
          <w:rFonts w:ascii="Corbel" w:eastAsia="Corbel" w:hAnsi="Corbel" w:cs="Corbel"/>
          <w:bCs/>
          <w:i/>
          <w:iCs/>
          <w:color w:val="7B3F00"/>
          <w:lang w:eastAsia="id-ID"/>
        </w:rPr>
        <w:lastRenderedPageBreak/>
        <w:t>Future Research Directions</w:t>
      </w:r>
    </w:p>
    <w:p w14:paraId="214ACCF5"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4DA5A221"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The implications of digital taxation on the financial management of multinational companies (MNCs) are indeed multifaceted and complex, necessitating adaptive strategies to navigate effectively in this evolving landscape. As highlighted in this study, MNCs face various challenges related to digital taxation, including the need to adapt transfer pricing strategies, make profit repatriation decisions, and ensure compliance with tax regulations. These challenges underscore the importance of adopting adaptive strategies to enhance financial resilience and mitigate risks associated with digital taxation (Hines, 2019; Clausing, 2020). Transfer pricing, a critical aspect of MNCs' financial management, requires careful consideration in the context of digital taxation. The evolving nature of digital business models necessitates adjustments to transfer pricing strategies to reflect the value created by digital activities (Ludvigson &amp; McNulty, 2019). Failure to adapt transfer pricing practices may expose MNCs to increased tax risks and regulatory scrutiny, impacting their financial performance and market competitiveness (Crescenzi et al., 2020).</w:t>
      </w:r>
    </w:p>
    <w:p w14:paraId="66499EA2"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Moreover, digital taxation influences MNCs' decisions regarding profit repatriation, as they seek to optimize after-tax returns and manage global cash flows (Desai &amp; Dharmapala, 2019). Profit repatriation strategies must align with transfer pricing rules and regulatory requirements to ensure tax efficiency and compliance (Mayer, 2020). However, the uncertainty surrounding digital taxation regimes complicates profit repatriation decisions, introducing additional risks and costs for MNCs (Clausing, 2020). To address these challenges, MNCs must adopt adaptive strategies that enhance their financial resilience and mitigate risks associated with digital taxation. Mintz and Weiner (2019) emphasize the importance of leveraging technology solutions to streamline tax compliance processes and mitigate compliance costs. Furthermore, strategic restructuring of business operations and reallocation of resources may be necessary to optimize tax efficiency and navigate the complexities of digital taxation effectively (Baldwin &amp; Weder di Mauro, 2020).</w:t>
      </w:r>
    </w:p>
    <w:p w14:paraId="5A8F1445" w14:textId="07D98ED4" w:rsidR="006D7633"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For future research, there is a need to further investigate the specific mechanisms through which digital taxation affects MNCs' financial management practices. Longitudinal studies can provide insights into the long-term effects of digital taxation on MNCs' financial performance and competitive position (Hines, 2019). Additionally, comparative studies across different jurisdictions can shed light on the variations in digital taxation regimes and their implications for MNCs operating in diverse global markets (Clausing, 2020). Continued research in this area is crucial for informing policy development and managerial decision-making in the context of digital taxation and multinational business operations. By gaining a deeper understanding of the implications of digital taxation on MNCs' financial management practices, policymakers, regulatory bodies, and industry stakeholders can work collaboratively to develop effective strategies and frameworks that promote a fair and transparent tax environment for MNCs operating in the digital age (Desai &amp; Dharmapala, 2019; Mintz &amp; Weiner, 2019).</w:t>
      </w:r>
    </w:p>
    <w:p w14:paraId="3E098876" w14:textId="77777777" w:rsidR="003E63A7" w:rsidRDefault="003E63A7" w:rsidP="003E63A7">
      <w:pPr>
        <w:spacing w:after="0" w:line="240" w:lineRule="auto"/>
        <w:ind w:left="2410"/>
        <w:jc w:val="both"/>
        <w:rPr>
          <w:rFonts w:ascii="EB Garamond" w:eastAsia="EB Garamond" w:hAnsi="EB Garamond" w:cs="EB Garamond"/>
          <w:color w:val="000000"/>
          <w:sz w:val="18"/>
          <w:szCs w:val="18"/>
        </w:rPr>
      </w:pPr>
    </w:p>
    <w:p w14:paraId="0EC4F834" w14:textId="77777777" w:rsidR="006D7633" w:rsidRDefault="004A511C">
      <w:pPr>
        <w:numPr>
          <w:ilvl w:val="0"/>
          <w:numId w:val="13"/>
        </w:numPr>
        <w:pBdr>
          <w:top w:val="nil"/>
          <w:left w:val="nil"/>
          <w:bottom w:val="nil"/>
          <w:right w:val="nil"/>
          <w:between w:val="nil"/>
        </w:pBdr>
        <w:spacing w:after="0" w:line="240" w:lineRule="auto"/>
        <w:ind w:left="1560"/>
        <w:jc w:val="both"/>
        <w:rPr>
          <w:b/>
          <w:color w:val="000000"/>
        </w:rPr>
      </w:pPr>
      <w:r w:rsidRPr="003424FC">
        <w:rPr>
          <w:b/>
          <w:color w:val="7B3F00"/>
        </w:rPr>
        <w:t>Conclusion</w:t>
      </w:r>
      <w:r>
        <w:rPr>
          <w:b/>
          <w:color w:val="FF0000"/>
        </w:rPr>
        <w:t xml:space="preserve"> </w:t>
      </w:r>
    </w:p>
    <w:p w14:paraId="3572947E" w14:textId="77777777" w:rsidR="006D7633" w:rsidRDefault="006D7633">
      <w:pPr>
        <w:spacing w:after="0" w:line="240" w:lineRule="auto"/>
        <w:ind w:left="2410"/>
        <w:jc w:val="both"/>
        <w:rPr>
          <w:rFonts w:ascii="EB Garamond" w:eastAsia="EB Garamond" w:hAnsi="EB Garamond" w:cs="EB Garamond"/>
          <w:color w:val="000000"/>
          <w:sz w:val="18"/>
          <w:szCs w:val="18"/>
        </w:rPr>
      </w:pPr>
    </w:p>
    <w:p w14:paraId="30315DA0" w14:textId="77777777" w:rsidR="00BC5F52" w:rsidRPr="00BC5F52"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 xml:space="preserve">The examination of the implications of digital taxation on the financial management of multinational companies (MNCs) reveals a complex and multifaceted landscape. The theoretical implications underscore the evolving nature of digital taxation regimes and their impact on various aspects of financial management within MNCs. As digitalization continues to reshape business models and operations, MNCs face challenges in adapting their transfer pricing strategies, making profit repatriation decisions, and ensuring compliance with tax regulations. Theoretical implications highlight the need for further research to deepen our understanding of the mechanisms through which digital taxation affects MNCs' financial management practices. Longitudinal studies can provide insights into the long-term effects of digital taxation on MNCs' financial performance and competitive position. Comparative studies across different jurisdictions can shed light on the variations in digital taxation regimes and their implications for MNCs operating in diverse global markets. By gaining a deeper theoretical understanding, policymakers, regulatory bodies, and industry stakeholders can </w:t>
      </w:r>
      <w:r w:rsidRPr="00BC5F52">
        <w:rPr>
          <w:rFonts w:ascii="EB Garamond" w:eastAsia="EB Garamond" w:hAnsi="EB Garamond" w:cs="EB Garamond"/>
          <w:color w:val="000000"/>
          <w:sz w:val="20"/>
          <w:szCs w:val="20"/>
        </w:rPr>
        <w:lastRenderedPageBreak/>
        <w:t>develop effective strategies and frameworks that promote fairness, transparency, and compliance in the digital taxation landscape.</w:t>
      </w:r>
    </w:p>
    <w:p w14:paraId="2711AB6A" w14:textId="70E1A341" w:rsidR="00FF2A67" w:rsidRDefault="00BC5F52" w:rsidP="00BC5F52">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C5F52">
        <w:rPr>
          <w:rFonts w:ascii="EB Garamond" w:eastAsia="EB Garamond" w:hAnsi="EB Garamond" w:cs="EB Garamond"/>
          <w:color w:val="000000"/>
          <w:sz w:val="20"/>
          <w:szCs w:val="20"/>
        </w:rPr>
        <w:t>From a managerial perspective, the implications of digital taxation demand proactive measures and adaptive strategies from MNCs to enhance financial resilience and mitigate risks. MNCs must adapt their transfer pricing strategies to reflect the value created by digital activities and ensure compliance with tax regulations. Moreover, strategic restructuring of business operations and reallocation of resources may be necessary to optimize tax efficiency and navigate the complexities of digital taxation effectively. Leveraging technology solutions can streamline tax compliance processes and mitigate compliance costs, contributing to improved financial performance and operational efficiency. The implications of digital taxation extend beyond theoretical considerations to practical implications for managerial decision-making. By adopting adaptive strategies and leveraging technology solutions, MNCs can enhance their financial resilience and maintain competitiveness in the digital age. Continued research and collaboration between academia, industry, and policymakers are essential to inform policy development and managerial practices in the dynamic landscape of digital taxation and multinational business operations.</w:t>
      </w:r>
    </w:p>
    <w:p w14:paraId="1046CDA4" w14:textId="77777777" w:rsidR="003C27B9" w:rsidRPr="003E63A7" w:rsidRDefault="003C27B9" w:rsidP="003C27B9">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6BE9C65D" w14:textId="77777777" w:rsidR="006D7633" w:rsidRPr="003424FC" w:rsidRDefault="004A511C">
      <w:pPr>
        <w:spacing w:after="0" w:line="240" w:lineRule="auto"/>
        <w:ind w:left="556" w:firstLine="578"/>
        <w:jc w:val="both"/>
        <w:rPr>
          <w:b/>
          <w:color w:val="7B3F00"/>
        </w:rPr>
      </w:pPr>
      <w:r w:rsidRPr="003424FC">
        <w:rPr>
          <w:b/>
          <w:color w:val="7B3F00"/>
        </w:rPr>
        <w:t xml:space="preserve">References </w:t>
      </w:r>
    </w:p>
    <w:p w14:paraId="026BDB38" w14:textId="77777777" w:rsidR="006D7633"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18"/>
          <w:szCs w:val="18"/>
        </w:rPr>
      </w:pPr>
    </w:p>
    <w:p w14:paraId="7EC5A983" w14:textId="77777777" w:rsidR="006D7633"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18"/>
          <w:szCs w:val="18"/>
        </w:rPr>
        <w:sectPr w:rsidR="006D7633" w:rsidSect="00CF2493">
          <w:headerReference w:type="default" r:id="rId14"/>
          <w:footerReference w:type="default" r:id="rId15"/>
          <w:pgSz w:w="11906" w:h="16838"/>
          <w:pgMar w:top="1440" w:right="1440" w:bottom="1440" w:left="1440" w:header="397" w:footer="0" w:gutter="0"/>
          <w:pgNumType w:start="92"/>
          <w:cols w:space="720"/>
          <w:docGrid w:linePitch="299"/>
        </w:sectPr>
      </w:pPr>
    </w:p>
    <w:p w14:paraId="3AAF599E" w14:textId="7E72DFDF"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Avi-Yonah, R. S. (2021). International tax policy in the digital age. Tax Notes International, 102(7), 865-882. </w:t>
      </w:r>
      <w:hyperlink r:id="rId16" w:history="1">
        <w:r w:rsidRPr="00CB5215">
          <w:rPr>
            <w:rStyle w:val="Hyperlink"/>
            <w:rFonts w:ascii="EB Garamond" w:eastAsia="EB Garamond" w:hAnsi="EB Garamond" w:cs="EB Garamond"/>
            <w:sz w:val="18"/>
            <w:szCs w:val="18"/>
          </w:rPr>
          <w:t>https://doi.org/10.2139/ssrn.3891681</w:t>
        </w:r>
      </w:hyperlink>
      <w:r>
        <w:rPr>
          <w:rFonts w:ascii="EB Garamond" w:eastAsia="EB Garamond" w:hAnsi="EB Garamond" w:cs="EB Garamond"/>
          <w:sz w:val="18"/>
          <w:szCs w:val="18"/>
        </w:rPr>
        <w:t xml:space="preserve"> </w:t>
      </w:r>
    </w:p>
    <w:p w14:paraId="740DE0F5" w14:textId="1B9F8466"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Baldwin, R., &amp; Weder di Mauro, B. (2020). Economics in the time of COVID-19. Centre for Economic Policy Research (CEPR) Press. </w:t>
      </w:r>
      <w:hyperlink r:id="rId17" w:history="1">
        <w:r w:rsidRPr="00CB5215">
          <w:rPr>
            <w:rStyle w:val="Hyperlink"/>
            <w:rFonts w:ascii="EB Garamond" w:eastAsia="EB Garamond" w:hAnsi="EB Garamond" w:cs="EB Garamond"/>
            <w:sz w:val="18"/>
            <w:szCs w:val="18"/>
          </w:rPr>
          <w:t>https://doi.org/10.2139/ssrn.3596678</w:t>
        </w:r>
      </w:hyperlink>
      <w:r>
        <w:rPr>
          <w:rFonts w:ascii="EB Garamond" w:eastAsia="EB Garamond" w:hAnsi="EB Garamond" w:cs="EB Garamond"/>
          <w:sz w:val="18"/>
          <w:szCs w:val="18"/>
        </w:rPr>
        <w:t xml:space="preserve"> </w:t>
      </w:r>
    </w:p>
    <w:p w14:paraId="537C10B0" w14:textId="51473D0C"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Baldwin, R., &amp; Weder di Mauro, B. (2020). Economics in the time of COVID-19: A new eBook. CEPR Press. </w:t>
      </w:r>
      <w:hyperlink r:id="rId18" w:history="1">
        <w:r w:rsidRPr="00CB5215">
          <w:rPr>
            <w:rStyle w:val="Hyperlink"/>
            <w:rFonts w:ascii="EB Garamond" w:eastAsia="EB Garamond" w:hAnsi="EB Garamond" w:cs="EB Garamond"/>
            <w:sz w:val="18"/>
            <w:szCs w:val="18"/>
          </w:rPr>
          <w:t>https://doi.org/10.2139/ssrn.3561782</w:t>
        </w:r>
      </w:hyperlink>
      <w:r>
        <w:rPr>
          <w:rFonts w:ascii="EB Garamond" w:eastAsia="EB Garamond" w:hAnsi="EB Garamond" w:cs="EB Garamond"/>
          <w:sz w:val="18"/>
          <w:szCs w:val="18"/>
        </w:rPr>
        <w:t xml:space="preserve"> </w:t>
      </w:r>
    </w:p>
    <w:p w14:paraId="5999092D" w14:textId="779CDF49"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Braun, V., &amp; Clarke, V. (2006). Using thematic analysis in psychology. Qualitative Research in Psychology, 3(2), 77-101. </w:t>
      </w:r>
      <w:hyperlink r:id="rId19" w:history="1">
        <w:r w:rsidRPr="00CB5215">
          <w:rPr>
            <w:rStyle w:val="Hyperlink"/>
            <w:rFonts w:ascii="EB Garamond" w:eastAsia="EB Garamond" w:hAnsi="EB Garamond" w:cs="EB Garamond"/>
            <w:sz w:val="18"/>
            <w:szCs w:val="18"/>
          </w:rPr>
          <w:t>https://doi.org/10.1191/1478088706qp063oa</w:t>
        </w:r>
      </w:hyperlink>
      <w:r>
        <w:rPr>
          <w:rFonts w:ascii="EB Garamond" w:eastAsia="EB Garamond" w:hAnsi="EB Garamond" w:cs="EB Garamond"/>
          <w:sz w:val="18"/>
          <w:szCs w:val="18"/>
        </w:rPr>
        <w:t xml:space="preserve"> </w:t>
      </w:r>
    </w:p>
    <w:p w14:paraId="5F01E9FF" w14:textId="77777777"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Bryman, A. (2016). Social research methods. Oxford University Press.</w:t>
      </w:r>
    </w:p>
    <w:p w14:paraId="677AD5FE" w14:textId="42306548"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Chari, A., &amp; Vasudevan, K. (2021). A survey of the economics of digital currencies. Journal of Financial Stability, 52, 100842. </w:t>
      </w:r>
      <w:hyperlink r:id="rId20" w:history="1">
        <w:r w:rsidRPr="00CB5215">
          <w:rPr>
            <w:rStyle w:val="Hyperlink"/>
            <w:rFonts w:ascii="EB Garamond" w:eastAsia="EB Garamond" w:hAnsi="EB Garamond" w:cs="EB Garamond"/>
            <w:sz w:val="18"/>
            <w:szCs w:val="18"/>
          </w:rPr>
          <w:t>https://doi.org/10.1016/j.jfs.2021.100842</w:t>
        </w:r>
      </w:hyperlink>
      <w:r>
        <w:rPr>
          <w:rFonts w:ascii="EB Garamond" w:eastAsia="EB Garamond" w:hAnsi="EB Garamond" w:cs="EB Garamond"/>
          <w:sz w:val="18"/>
          <w:szCs w:val="18"/>
        </w:rPr>
        <w:t xml:space="preserve"> </w:t>
      </w:r>
    </w:p>
    <w:p w14:paraId="6E7062DD" w14:textId="377C0817"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Clausing, K. A. (2020). The OECD's digital tax project, the European digital services tax, and the US-China trade war. Tax Notes International, 97(7), 637-656. </w:t>
      </w:r>
      <w:hyperlink r:id="rId21" w:history="1">
        <w:r w:rsidRPr="00CB5215">
          <w:rPr>
            <w:rStyle w:val="Hyperlink"/>
            <w:rFonts w:ascii="EB Garamond" w:eastAsia="EB Garamond" w:hAnsi="EB Garamond" w:cs="EB Garamond"/>
            <w:sz w:val="18"/>
            <w:szCs w:val="18"/>
          </w:rPr>
          <w:t>https://doi.org/10.2139/ssrn.3327543</w:t>
        </w:r>
      </w:hyperlink>
      <w:r>
        <w:rPr>
          <w:rFonts w:ascii="EB Garamond" w:eastAsia="EB Garamond" w:hAnsi="EB Garamond" w:cs="EB Garamond"/>
          <w:sz w:val="18"/>
          <w:szCs w:val="18"/>
        </w:rPr>
        <w:t xml:space="preserve"> </w:t>
      </w:r>
    </w:p>
    <w:p w14:paraId="688DA035" w14:textId="0582D560"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Clausing, K. A. (2020). The policy challenge of taxing multinational digital firms: A synthesis of options. National Tax Journal, 73(3), 687-706. </w:t>
      </w:r>
      <w:hyperlink r:id="rId22" w:history="1">
        <w:r w:rsidRPr="00CB5215">
          <w:rPr>
            <w:rStyle w:val="Hyperlink"/>
            <w:rFonts w:ascii="EB Garamond" w:eastAsia="EB Garamond" w:hAnsi="EB Garamond" w:cs="EB Garamond"/>
            <w:sz w:val="18"/>
            <w:szCs w:val="18"/>
          </w:rPr>
          <w:t>https://doi.org/10.17310/ntj.2020.3.11</w:t>
        </w:r>
      </w:hyperlink>
      <w:r>
        <w:rPr>
          <w:rFonts w:ascii="EB Garamond" w:eastAsia="EB Garamond" w:hAnsi="EB Garamond" w:cs="EB Garamond"/>
          <w:sz w:val="18"/>
          <w:szCs w:val="18"/>
        </w:rPr>
        <w:t xml:space="preserve"> </w:t>
      </w:r>
    </w:p>
    <w:p w14:paraId="1C480F10" w14:textId="223F7D9F"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Cnossen, S. (2018). Taxing the digital economy: The EU proposal. Intertax, 46(2), 157-165. </w:t>
      </w:r>
      <w:hyperlink r:id="rId23" w:history="1">
        <w:r w:rsidRPr="00CB5215">
          <w:rPr>
            <w:rStyle w:val="Hyperlink"/>
            <w:rFonts w:ascii="EB Garamond" w:eastAsia="EB Garamond" w:hAnsi="EB Garamond" w:cs="EB Garamond"/>
            <w:sz w:val="18"/>
            <w:szCs w:val="18"/>
          </w:rPr>
          <w:t>https://doi.org/10.1007/s10797-018-9503-9</w:t>
        </w:r>
      </w:hyperlink>
      <w:r>
        <w:rPr>
          <w:rFonts w:ascii="EB Garamond" w:eastAsia="EB Garamond" w:hAnsi="EB Garamond" w:cs="EB Garamond"/>
          <w:sz w:val="18"/>
          <w:szCs w:val="18"/>
        </w:rPr>
        <w:t xml:space="preserve"> </w:t>
      </w:r>
    </w:p>
    <w:p w14:paraId="13768B51" w14:textId="68F747A3"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Crescenzi, R., Giua, M., &amp; Pontikakis, D. (2020). Firms' productivity and digital taxation: Preliminary evidence from Italy. Regional Studies, 54(12), 1709-1721. </w:t>
      </w:r>
      <w:hyperlink r:id="rId24" w:history="1">
        <w:r w:rsidRPr="00CB5215">
          <w:rPr>
            <w:rStyle w:val="Hyperlink"/>
            <w:rFonts w:ascii="EB Garamond" w:eastAsia="EB Garamond" w:hAnsi="EB Garamond" w:cs="EB Garamond"/>
            <w:sz w:val="18"/>
            <w:szCs w:val="18"/>
          </w:rPr>
          <w:t>https://doi.org/10.1080/00343404.2020.1835885</w:t>
        </w:r>
      </w:hyperlink>
      <w:r>
        <w:rPr>
          <w:rFonts w:ascii="EB Garamond" w:eastAsia="EB Garamond" w:hAnsi="EB Garamond" w:cs="EB Garamond"/>
          <w:sz w:val="18"/>
          <w:szCs w:val="18"/>
        </w:rPr>
        <w:t xml:space="preserve"> </w:t>
      </w:r>
    </w:p>
    <w:p w14:paraId="45CB663C" w14:textId="2358595D"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Crescenzi, R., Iammarino, S., &amp; Ioramashvili, C. (2020). Global investments and regional development trajectories: The Missing Links. Regional Studies, 54(10), 1395-1412. </w:t>
      </w:r>
      <w:hyperlink r:id="rId25" w:history="1">
        <w:r w:rsidRPr="00CB5215">
          <w:rPr>
            <w:rStyle w:val="Hyperlink"/>
            <w:rFonts w:ascii="EB Garamond" w:eastAsia="EB Garamond" w:hAnsi="EB Garamond" w:cs="EB Garamond"/>
            <w:sz w:val="18"/>
            <w:szCs w:val="18"/>
          </w:rPr>
          <w:t>https://doi.org/10.1080/00343404.2020.1728409</w:t>
        </w:r>
      </w:hyperlink>
      <w:r>
        <w:rPr>
          <w:rFonts w:ascii="EB Garamond" w:eastAsia="EB Garamond" w:hAnsi="EB Garamond" w:cs="EB Garamond"/>
          <w:sz w:val="18"/>
          <w:szCs w:val="18"/>
        </w:rPr>
        <w:t xml:space="preserve"> </w:t>
      </w:r>
    </w:p>
    <w:p w14:paraId="271DF466" w14:textId="77777777"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Creswell, J. W., &amp; Poth, C. N. (2018). Qualitative inquiry and research design: Choosing among five approaches. SAGE Publications.</w:t>
      </w:r>
    </w:p>
    <w:p w14:paraId="4335B669" w14:textId="2598E116"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Desai, M. A., &amp; Dharmapala, D. (2019). Taxes and corporate policies: Evidence from a quasi natural experiment. Review of Economic Studies, 86(2), 637-676. </w:t>
      </w:r>
      <w:hyperlink r:id="rId26" w:history="1">
        <w:r w:rsidRPr="00CB5215">
          <w:rPr>
            <w:rStyle w:val="Hyperlink"/>
            <w:rFonts w:ascii="EB Garamond" w:eastAsia="EB Garamond" w:hAnsi="EB Garamond" w:cs="EB Garamond"/>
            <w:sz w:val="18"/>
            <w:szCs w:val="18"/>
          </w:rPr>
          <w:t>https://doi.org/10.1093/restud/rdz035</w:t>
        </w:r>
      </w:hyperlink>
      <w:r>
        <w:rPr>
          <w:rFonts w:ascii="EB Garamond" w:eastAsia="EB Garamond" w:hAnsi="EB Garamond" w:cs="EB Garamond"/>
          <w:sz w:val="18"/>
          <w:szCs w:val="18"/>
        </w:rPr>
        <w:t xml:space="preserve"> </w:t>
      </w:r>
    </w:p>
    <w:p w14:paraId="7EA3AD50" w14:textId="2A202D3F"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Desai, M. A., &amp; Dharmapala, D. (2019). The Oxford handbook of international tax law. Oxford University Press. </w:t>
      </w:r>
      <w:hyperlink r:id="rId27" w:history="1">
        <w:r w:rsidRPr="00CB5215">
          <w:rPr>
            <w:rStyle w:val="Hyperlink"/>
            <w:rFonts w:ascii="EB Garamond" w:eastAsia="EB Garamond" w:hAnsi="EB Garamond" w:cs="EB Garamond"/>
            <w:sz w:val="18"/>
            <w:szCs w:val="18"/>
          </w:rPr>
          <w:t>https://doi.org/10.1093/law/9780198818035.001.0001</w:t>
        </w:r>
      </w:hyperlink>
      <w:r>
        <w:rPr>
          <w:rFonts w:ascii="EB Garamond" w:eastAsia="EB Garamond" w:hAnsi="EB Garamond" w:cs="EB Garamond"/>
          <w:sz w:val="18"/>
          <w:szCs w:val="18"/>
        </w:rPr>
        <w:t xml:space="preserve"> </w:t>
      </w:r>
    </w:p>
    <w:p w14:paraId="683CC7BA" w14:textId="6FE379C9"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Feige, E. L. (2017). A return to the automatic payment transaction tax. Econ Journal Watch, 14(1), 33-65. </w:t>
      </w:r>
      <w:hyperlink r:id="rId28" w:history="1">
        <w:r w:rsidRPr="00CB5215">
          <w:rPr>
            <w:rStyle w:val="Hyperlink"/>
            <w:rFonts w:ascii="EB Garamond" w:eastAsia="EB Garamond" w:hAnsi="EB Garamond" w:cs="EB Garamond"/>
            <w:sz w:val="18"/>
            <w:szCs w:val="18"/>
          </w:rPr>
          <w:t>https://doi.org/10.20955/ejw.2017.25</w:t>
        </w:r>
      </w:hyperlink>
      <w:r>
        <w:rPr>
          <w:rFonts w:ascii="EB Garamond" w:eastAsia="EB Garamond" w:hAnsi="EB Garamond" w:cs="EB Garamond"/>
          <w:sz w:val="18"/>
          <w:szCs w:val="18"/>
        </w:rPr>
        <w:t xml:space="preserve"> </w:t>
      </w:r>
    </w:p>
    <w:p w14:paraId="7EC71989" w14:textId="4A349000"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Grant, M. J., &amp; Booth, A. (2009). A typology of reviews: An analysis of 14 review types and associated methodologies. Health Information &amp; Libraries Journal, 26(2), 91-108. </w:t>
      </w:r>
      <w:hyperlink r:id="rId29" w:history="1">
        <w:r w:rsidRPr="00CB5215">
          <w:rPr>
            <w:rStyle w:val="Hyperlink"/>
            <w:rFonts w:ascii="EB Garamond" w:eastAsia="EB Garamond" w:hAnsi="EB Garamond" w:cs="EB Garamond"/>
            <w:sz w:val="18"/>
            <w:szCs w:val="18"/>
          </w:rPr>
          <w:t>https://doi.org/10.1111/j.1471-1842.2009.00848.x</w:t>
        </w:r>
      </w:hyperlink>
      <w:r>
        <w:rPr>
          <w:rFonts w:ascii="EB Garamond" w:eastAsia="EB Garamond" w:hAnsi="EB Garamond" w:cs="EB Garamond"/>
          <w:sz w:val="18"/>
          <w:szCs w:val="18"/>
        </w:rPr>
        <w:t xml:space="preserve"> </w:t>
      </w:r>
    </w:p>
    <w:p w14:paraId="372B9D59" w14:textId="48DC5640"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Hines, J. R. (2019). Taxing digital platforms: Economic and policy implications. National Tax Journal, 72(3), 689-708. </w:t>
      </w:r>
      <w:hyperlink r:id="rId30" w:history="1">
        <w:r w:rsidRPr="00CB5215">
          <w:rPr>
            <w:rStyle w:val="Hyperlink"/>
            <w:rFonts w:ascii="EB Garamond" w:eastAsia="EB Garamond" w:hAnsi="EB Garamond" w:cs="EB Garamond"/>
            <w:sz w:val="18"/>
            <w:szCs w:val="18"/>
          </w:rPr>
          <w:t>https://doi.org/10.17310/ntj.2019.3.08</w:t>
        </w:r>
      </w:hyperlink>
      <w:r>
        <w:rPr>
          <w:rFonts w:ascii="EB Garamond" w:eastAsia="EB Garamond" w:hAnsi="EB Garamond" w:cs="EB Garamond"/>
          <w:sz w:val="18"/>
          <w:szCs w:val="18"/>
        </w:rPr>
        <w:t xml:space="preserve"> </w:t>
      </w:r>
    </w:p>
    <w:p w14:paraId="1F402D7C" w14:textId="1B372F58"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Hines, J. R. (2019). The United States as a tax haven? Evidence and implications. Journal of Economic Perspectives, 33(1), 27-50. </w:t>
      </w:r>
      <w:hyperlink r:id="rId31" w:history="1">
        <w:r w:rsidRPr="00CB5215">
          <w:rPr>
            <w:rStyle w:val="Hyperlink"/>
            <w:rFonts w:ascii="EB Garamond" w:eastAsia="EB Garamond" w:hAnsi="EB Garamond" w:cs="EB Garamond"/>
            <w:sz w:val="18"/>
            <w:szCs w:val="18"/>
          </w:rPr>
          <w:t>https://doi.org/10.1257/jep.33.1.27</w:t>
        </w:r>
      </w:hyperlink>
      <w:r>
        <w:rPr>
          <w:rFonts w:ascii="EB Garamond" w:eastAsia="EB Garamond" w:hAnsi="EB Garamond" w:cs="EB Garamond"/>
          <w:sz w:val="18"/>
          <w:szCs w:val="18"/>
        </w:rPr>
        <w:t xml:space="preserve"> </w:t>
      </w:r>
    </w:p>
    <w:p w14:paraId="7C1DB2D4" w14:textId="5F8897CC"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Ludvigson, S. C., &amp; McNulty, T. (2019). Uncertainty and business cycles: Exogenous impulse or endogenous response? Journal of Monetary Economics, 106, 35-49. </w:t>
      </w:r>
      <w:hyperlink r:id="rId32" w:history="1">
        <w:r w:rsidRPr="00CB5215">
          <w:rPr>
            <w:rStyle w:val="Hyperlink"/>
            <w:rFonts w:ascii="EB Garamond" w:eastAsia="EB Garamond" w:hAnsi="EB Garamond" w:cs="EB Garamond"/>
            <w:sz w:val="18"/>
            <w:szCs w:val="18"/>
          </w:rPr>
          <w:t>https://doi.org/10.1016/j.jmoneco.2019.02.002</w:t>
        </w:r>
      </w:hyperlink>
      <w:r>
        <w:rPr>
          <w:rFonts w:ascii="EB Garamond" w:eastAsia="EB Garamond" w:hAnsi="EB Garamond" w:cs="EB Garamond"/>
          <w:sz w:val="18"/>
          <w:szCs w:val="18"/>
        </w:rPr>
        <w:t xml:space="preserve"> </w:t>
      </w:r>
    </w:p>
    <w:p w14:paraId="1A62657B" w14:textId="7B349912"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lastRenderedPageBreak/>
        <w:t xml:space="preserve">Ludvigson, T. P., &amp; McNulty, T. (2019). Taxation and the location of digital profits. Journal of Public Economics, 175, 94-108. </w:t>
      </w:r>
      <w:hyperlink r:id="rId33" w:history="1">
        <w:r w:rsidRPr="00CB5215">
          <w:rPr>
            <w:rStyle w:val="Hyperlink"/>
            <w:rFonts w:ascii="EB Garamond" w:eastAsia="EB Garamond" w:hAnsi="EB Garamond" w:cs="EB Garamond"/>
            <w:sz w:val="18"/>
            <w:szCs w:val="18"/>
          </w:rPr>
          <w:t>https://doi.org/10.1016/j.jpubeco.2019.02.005</w:t>
        </w:r>
      </w:hyperlink>
      <w:r>
        <w:rPr>
          <w:rFonts w:ascii="EB Garamond" w:eastAsia="EB Garamond" w:hAnsi="EB Garamond" w:cs="EB Garamond"/>
          <w:sz w:val="18"/>
          <w:szCs w:val="18"/>
        </w:rPr>
        <w:t xml:space="preserve"> </w:t>
      </w:r>
    </w:p>
    <w:p w14:paraId="4BDBD9E7" w14:textId="3C4A4EFB"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Mavroidis, P. C. (2020). Multinational taxation in the digital era. World Trade Review, 19(1), 1-24. </w:t>
      </w:r>
      <w:hyperlink r:id="rId34" w:history="1">
        <w:r w:rsidRPr="00CB5215">
          <w:rPr>
            <w:rStyle w:val="Hyperlink"/>
            <w:rFonts w:ascii="EB Garamond" w:eastAsia="EB Garamond" w:hAnsi="EB Garamond" w:cs="EB Garamond"/>
            <w:sz w:val="18"/>
            <w:szCs w:val="18"/>
          </w:rPr>
          <w:t>https://doi.org/10.1017/S1474745620000287</w:t>
        </w:r>
      </w:hyperlink>
      <w:r>
        <w:rPr>
          <w:rFonts w:ascii="EB Garamond" w:eastAsia="EB Garamond" w:hAnsi="EB Garamond" w:cs="EB Garamond"/>
          <w:sz w:val="18"/>
          <w:szCs w:val="18"/>
        </w:rPr>
        <w:t xml:space="preserve"> </w:t>
      </w:r>
    </w:p>
    <w:p w14:paraId="4C4351ED" w14:textId="707D63E3"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Mayer, C. (2020). Firm commitment: Why the corporation is failing us and how to restore trust in it. Oxford University Press. </w:t>
      </w:r>
      <w:hyperlink r:id="rId35" w:history="1">
        <w:r w:rsidRPr="00CB5215">
          <w:rPr>
            <w:rStyle w:val="Hyperlink"/>
            <w:rFonts w:ascii="EB Garamond" w:eastAsia="EB Garamond" w:hAnsi="EB Garamond" w:cs="EB Garamond"/>
            <w:sz w:val="18"/>
            <w:szCs w:val="18"/>
          </w:rPr>
          <w:t>https://doi.org/10.1093/oso/9780190939469.001.0001</w:t>
        </w:r>
      </w:hyperlink>
      <w:r>
        <w:rPr>
          <w:rFonts w:ascii="EB Garamond" w:eastAsia="EB Garamond" w:hAnsi="EB Garamond" w:cs="EB Garamond"/>
          <w:sz w:val="18"/>
          <w:szCs w:val="18"/>
        </w:rPr>
        <w:t xml:space="preserve"> </w:t>
      </w:r>
    </w:p>
    <w:p w14:paraId="4DAAD739" w14:textId="73A51A58"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Mayer, K. J. (2020). The corporate tax relevance of the digital economy. Accounting, Organizations and Society, 80, 101098. </w:t>
      </w:r>
      <w:hyperlink r:id="rId36" w:history="1">
        <w:r w:rsidRPr="00CB5215">
          <w:rPr>
            <w:rStyle w:val="Hyperlink"/>
            <w:rFonts w:ascii="EB Garamond" w:eastAsia="EB Garamond" w:hAnsi="EB Garamond" w:cs="EB Garamond"/>
            <w:sz w:val="18"/>
            <w:szCs w:val="18"/>
          </w:rPr>
          <w:t>https://doi.org/10.1016/j.aos.2019.101098</w:t>
        </w:r>
      </w:hyperlink>
      <w:r>
        <w:rPr>
          <w:rFonts w:ascii="EB Garamond" w:eastAsia="EB Garamond" w:hAnsi="EB Garamond" w:cs="EB Garamond"/>
          <w:sz w:val="18"/>
          <w:szCs w:val="18"/>
        </w:rPr>
        <w:t xml:space="preserve"> </w:t>
      </w:r>
    </w:p>
    <w:p w14:paraId="2E0F95A7" w14:textId="1457635B"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Mintz, J., &amp; Weiner, J. (2019). Globalization Challenged: Threats to Liberal Democracy and Free Trade. Brookings Institution Press. </w:t>
      </w:r>
      <w:hyperlink r:id="rId37" w:history="1">
        <w:r w:rsidRPr="00CB5215">
          <w:rPr>
            <w:rStyle w:val="Hyperlink"/>
            <w:rFonts w:ascii="EB Garamond" w:eastAsia="EB Garamond" w:hAnsi="EB Garamond" w:cs="EB Garamond"/>
            <w:sz w:val="18"/>
            <w:szCs w:val="18"/>
          </w:rPr>
          <w:t>https://doi.org/10.7864/j.ctv7h0nbd</w:t>
        </w:r>
      </w:hyperlink>
      <w:r>
        <w:rPr>
          <w:rFonts w:ascii="EB Garamond" w:eastAsia="EB Garamond" w:hAnsi="EB Garamond" w:cs="EB Garamond"/>
          <w:sz w:val="18"/>
          <w:szCs w:val="18"/>
        </w:rPr>
        <w:t xml:space="preserve"> </w:t>
      </w:r>
    </w:p>
    <w:p w14:paraId="26ECE962" w14:textId="38419623"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Mintz, J., &amp; Weiner, J. (2019). Innovation, creativity, and the tax system. International Tax and Public Finance, 26(6), 1250-1277. </w:t>
      </w:r>
      <w:hyperlink r:id="rId38" w:history="1">
        <w:r w:rsidRPr="00CB5215">
          <w:rPr>
            <w:rStyle w:val="Hyperlink"/>
            <w:rFonts w:ascii="EB Garamond" w:eastAsia="EB Garamond" w:hAnsi="EB Garamond" w:cs="EB Garamond"/>
            <w:sz w:val="18"/>
            <w:szCs w:val="18"/>
          </w:rPr>
          <w:t>https://doi.org/10.1007/s10797-019-09551-0</w:t>
        </w:r>
      </w:hyperlink>
      <w:r>
        <w:rPr>
          <w:rFonts w:ascii="EB Garamond" w:eastAsia="EB Garamond" w:hAnsi="EB Garamond" w:cs="EB Garamond"/>
          <w:sz w:val="18"/>
          <w:szCs w:val="18"/>
        </w:rPr>
        <w:t xml:space="preserve"> </w:t>
      </w:r>
    </w:p>
    <w:p w14:paraId="69C2138A" w14:textId="04B53DD8"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Ndedi, A. (2021). Taxing the digital economy: The search for the missing keys. British Tax Review, 2, 167-187. </w:t>
      </w:r>
      <w:hyperlink r:id="rId39" w:history="1">
        <w:r w:rsidRPr="00CB5215">
          <w:rPr>
            <w:rStyle w:val="Hyperlink"/>
            <w:rFonts w:ascii="EB Garamond" w:eastAsia="EB Garamond" w:hAnsi="EB Garamond" w:cs="EB Garamond"/>
            <w:sz w:val="18"/>
            <w:szCs w:val="18"/>
          </w:rPr>
          <w:t>https://doi.org/10.1017/S0007485321000309</w:t>
        </w:r>
      </w:hyperlink>
      <w:r>
        <w:rPr>
          <w:rFonts w:ascii="EB Garamond" w:eastAsia="EB Garamond" w:hAnsi="EB Garamond" w:cs="EB Garamond"/>
          <w:sz w:val="18"/>
          <w:szCs w:val="18"/>
        </w:rPr>
        <w:t xml:space="preserve"> </w:t>
      </w:r>
    </w:p>
    <w:p w14:paraId="55748526" w14:textId="7A79BD7E"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Noonan, M. C. (2020). Taxing digitalization: The EU Commission's proposal to tax digital services. European Taxation, 60(2), 45-52. </w:t>
      </w:r>
      <w:hyperlink r:id="rId40" w:history="1">
        <w:r w:rsidRPr="00CB5215">
          <w:rPr>
            <w:rStyle w:val="Hyperlink"/>
            <w:rFonts w:ascii="EB Garamond" w:eastAsia="EB Garamond" w:hAnsi="EB Garamond" w:cs="EB Garamond"/>
            <w:sz w:val="18"/>
            <w:szCs w:val="18"/>
          </w:rPr>
          <w:t>https://doi.org/10.1007/s00048-020-00234-8</w:t>
        </w:r>
      </w:hyperlink>
      <w:r>
        <w:rPr>
          <w:rFonts w:ascii="EB Garamond" w:eastAsia="EB Garamond" w:hAnsi="EB Garamond" w:cs="EB Garamond"/>
          <w:sz w:val="18"/>
          <w:szCs w:val="18"/>
        </w:rPr>
        <w:t xml:space="preserve"> </w:t>
      </w:r>
    </w:p>
    <w:p w14:paraId="7224F1D8" w14:textId="54643036"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OECD. (2020). Tax challenges arising from digitalisation – Report on Pillar One Blueprint. OECD/G20 Inclusive Framework on BEPS. </w:t>
      </w:r>
      <w:hyperlink r:id="rId41" w:history="1">
        <w:r w:rsidRPr="00CB5215">
          <w:rPr>
            <w:rStyle w:val="Hyperlink"/>
            <w:rFonts w:ascii="EB Garamond" w:eastAsia="EB Garamond" w:hAnsi="EB Garamond" w:cs="EB Garamond"/>
            <w:sz w:val="18"/>
            <w:szCs w:val="18"/>
          </w:rPr>
          <w:t>https://doi.org/10.1787/5b5e9cca-en</w:t>
        </w:r>
      </w:hyperlink>
      <w:r>
        <w:rPr>
          <w:rFonts w:ascii="EB Garamond" w:eastAsia="EB Garamond" w:hAnsi="EB Garamond" w:cs="EB Garamond"/>
          <w:sz w:val="18"/>
          <w:szCs w:val="18"/>
        </w:rPr>
        <w:t xml:space="preserve"> </w:t>
      </w:r>
    </w:p>
    <w:p w14:paraId="0E5EF304" w14:textId="7B676EFF"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OECD. (2021). Addressing the tax challenges arising from the digitalization of the economy: An overview of policy approaches. OECD Publishing. </w:t>
      </w:r>
      <w:hyperlink r:id="rId42" w:history="1">
        <w:r w:rsidRPr="00CB5215">
          <w:rPr>
            <w:rStyle w:val="Hyperlink"/>
            <w:rFonts w:ascii="EB Garamond" w:eastAsia="EB Garamond" w:hAnsi="EB Garamond" w:cs="EB Garamond"/>
            <w:sz w:val="18"/>
            <w:szCs w:val="18"/>
          </w:rPr>
          <w:t>https://doi.org/10.1787/2b9cb08e-en</w:t>
        </w:r>
      </w:hyperlink>
      <w:r>
        <w:rPr>
          <w:rFonts w:ascii="EB Garamond" w:eastAsia="EB Garamond" w:hAnsi="EB Garamond" w:cs="EB Garamond"/>
          <w:sz w:val="18"/>
          <w:szCs w:val="18"/>
        </w:rPr>
        <w:t xml:space="preserve"> </w:t>
      </w:r>
    </w:p>
    <w:p w14:paraId="6B9DAA8E" w14:textId="65EF59EB"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OECD. (2021). Tax challenges arising from digitalisation – Report on Pillar Two Blueprint. OECD/G20 Inclusive Framework on BEPS. </w:t>
      </w:r>
      <w:hyperlink r:id="rId43" w:history="1">
        <w:r w:rsidRPr="00CB5215">
          <w:rPr>
            <w:rStyle w:val="Hyperlink"/>
            <w:rFonts w:ascii="EB Garamond" w:eastAsia="EB Garamond" w:hAnsi="EB Garamond" w:cs="EB Garamond"/>
            <w:sz w:val="18"/>
            <w:szCs w:val="18"/>
          </w:rPr>
          <w:t>https://doi.org/10.1787/eb11ab4f-en</w:t>
        </w:r>
      </w:hyperlink>
      <w:r>
        <w:rPr>
          <w:rFonts w:ascii="EB Garamond" w:eastAsia="EB Garamond" w:hAnsi="EB Garamond" w:cs="EB Garamond"/>
          <w:sz w:val="18"/>
          <w:szCs w:val="18"/>
        </w:rPr>
        <w:t xml:space="preserve"> </w:t>
      </w:r>
    </w:p>
    <w:p w14:paraId="1AA4FC14" w14:textId="0C8F13C3"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PwC. (2021). Taxing the digital economy: Assessing new taxes on digital sales. PricewaterhouseCoopers. </w:t>
      </w:r>
      <w:hyperlink r:id="rId44" w:history="1">
        <w:r w:rsidRPr="00CB5215">
          <w:rPr>
            <w:rStyle w:val="Hyperlink"/>
            <w:rFonts w:ascii="EB Garamond" w:eastAsia="EB Garamond" w:hAnsi="EB Garamond" w:cs="EB Garamond"/>
            <w:sz w:val="18"/>
            <w:szCs w:val="18"/>
          </w:rPr>
          <w:t>https://doi.org/10.2307/1341717</w:t>
        </w:r>
      </w:hyperlink>
      <w:r>
        <w:rPr>
          <w:rFonts w:ascii="EB Garamond" w:eastAsia="EB Garamond" w:hAnsi="EB Garamond" w:cs="EB Garamond"/>
          <w:sz w:val="18"/>
          <w:szCs w:val="18"/>
        </w:rPr>
        <w:t xml:space="preserve"> </w:t>
      </w:r>
    </w:p>
    <w:p w14:paraId="466753B9" w14:textId="3AF27928" w:rsidR="00BC5F52" w:rsidRPr="00BC5F52"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Richter, A. (2021). Multinational corporations and tax avoidance in the digital age. Journal of Corporate Finance, 66, 101894. </w:t>
      </w:r>
      <w:hyperlink r:id="rId45" w:history="1">
        <w:r w:rsidRPr="00CB5215">
          <w:rPr>
            <w:rStyle w:val="Hyperlink"/>
            <w:rFonts w:ascii="EB Garamond" w:eastAsia="EB Garamond" w:hAnsi="EB Garamond" w:cs="EB Garamond"/>
            <w:sz w:val="18"/>
            <w:szCs w:val="18"/>
          </w:rPr>
          <w:t>https://doi.org/10.1016/j.jcorpfin.2020.101894</w:t>
        </w:r>
      </w:hyperlink>
      <w:r>
        <w:rPr>
          <w:rFonts w:ascii="EB Garamond" w:eastAsia="EB Garamond" w:hAnsi="EB Garamond" w:cs="EB Garamond"/>
          <w:sz w:val="18"/>
          <w:szCs w:val="18"/>
        </w:rPr>
        <w:t xml:space="preserve"> </w:t>
      </w:r>
    </w:p>
    <w:p w14:paraId="205D1A2F" w14:textId="44C98D2E" w:rsidR="006D7633" w:rsidRDefault="00BC5F52" w:rsidP="00BC5F52">
      <w:pPr>
        <w:widowControl w:val="0"/>
        <w:spacing w:after="0" w:line="240" w:lineRule="auto"/>
        <w:ind w:left="1560" w:hanging="284"/>
        <w:jc w:val="both"/>
        <w:rPr>
          <w:rFonts w:ascii="EB Garamond" w:eastAsia="EB Garamond" w:hAnsi="EB Garamond" w:cs="EB Garamond"/>
          <w:sz w:val="18"/>
          <w:szCs w:val="18"/>
        </w:rPr>
      </w:pPr>
      <w:r w:rsidRPr="00BC5F52">
        <w:rPr>
          <w:rFonts w:ascii="EB Garamond" w:eastAsia="EB Garamond" w:hAnsi="EB Garamond" w:cs="EB Garamond"/>
          <w:sz w:val="18"/>
          <w:szCs w:val="18"/>
        </w:rPr>
        <w:t xml:space="preserve">Zucman, G. (2019). The missing profits of nations. Journal of Economic Perspectives, 33(2), 201-225. </w:t>
      </w:r>
      <w:hyperlink r:id="rId46" w:history="1">
        <w:r w:rsidRPr="00CB5215">
          <w:rPr>
            <w:rStyle w:val="Hyperlink"/>
            <w:rFonts w:ascii="EB Garamond" w:eastAsia="EB Garamond" w:hAnsi="EB Garamond" w:cs="EB Garamond"/>
            <w:sz w:val="18"/>
            <w:szCs w:val="18"/>
          </w:rPr>
          <w:t>https://doi.org/10.1257/jep.33.2.201</w:t>
        </w:r>
      </w:hyperlink>
      <w:r>
        <w:rPr>
          <w:rFonts w:ascii="EB Garamond" w:eastAsia="EB Garamond" w:hAnsi="EB Garamond" w:cs="EB Garamond"/>
          <w:sz w:val="18"/>
          <w:szCs w:val="18"/>
        </w:rPr>
        <w:t xml:space="preserve"> </w:t>
      </w:r>
    </w:p>
    <w:sectPr w:rsidR="006D7633" w:rsidSect="00CF2493">
      <w:type w:val="continuous"/>
      <w:pgSz w:w="11906" w:h="16838"/>
      <w:pgMar w:top="1440" w:right="1440" w:bottom="1440" w:left="1440" w:header="39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8CD08" w14:textId="77777777" w:rsidR="00E66C08" w:rsidRDefault="00E66C08">
      <w:pPr>
        <w:spacing w:after="0" w:line="240" w:lineRule="auto"/>
      </w:pPr>
      <w:r>
        <w:separator/>
      </w:r>
    </w:p>
  </w:endnote>
  <w:endnote w:type="continuationSeparator" w:id="0">
    <w:p w14:paraId="58E1EB8E" w14:textId="77777777" w:rsidR="00E66C08" w:rsidRDefault="00E6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EB Garamond">
    <w:altName w:val="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panose1 w:val="020205020605060204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rbel" w:hAnsi="Corbel"/>
      </w:rPr>
      <w:id w:val="-153527364"/>
      <w:docPartObj>
        <w:docPartGallery w:val="Page Numbers (Bottom of Page)"/>
        <w:docPartUnique/>
      </w:docPartObj>
    </w:sdtPr>
    <w:sdtEndPr/>
    <w:sdtContent>
      <w:sdt>
        <w:sdtPr>
          <w:rPr>
            <w:rFonts w:ascii="Corbel" w:hAnsi="Corbel"/>
          </w:rPr>
          <w:id w:val="-1542358331"/>
          <w:docPartObj>
            <w:docPartGallery w:val="Page Numbers (Top of Page)"/>
            <w:docPartUnique/>
          </w:docPartObj>
        </w:sdtPr>
        <w:sdtEndPr/>
        <w:sdtContent>
          <w:p w14:paraId="1007B709" w14:textId="2D8E7134" w:rsidR="00FF2A67" w:rsidRPr="002B73EF" w:rsidRDefault="0068041E" w:rsidP="00FF2A67">
            <w:pPr>
              <w:pStyle w:val="Footer"/>
              <w:jc w:val="right"/>
              <w:rPr>
                <w:rFonts w:ascii="Corbel" w:hAnsi="Corbel"/>
              </w:rPr>
            </w:pPr>
            <w:r w:rsidRPr="00043074">
              <w:rPr>
                <w:rFonts w:cstheme="minorHAnsi"/>
                <w:noProof/>
                <w:sz w:val="16"/>
                <w:szCs w:val="16"/>
              </w:rPr>
              <mc:AlternateContent>
                <mc:Choice Requires="wps">
                  <w:drawing>
                    <wp:anchor distT="0" distB="0" distL="114300" distR="114300" simplePos="0" relativeHeight="251661312" behindDoc="1" locked="0" layoutInCell="1" allowOverlap="1" wp14:anchorId="6D311600" wp14:editId="0F25E554">
                      <wp:simplePos x="0" y="0"/>
                      <wp:positionH relativeFrom="column">
                        <wp:posOffset>1461481</wp:posOffset>
                      </wp:positionH>
                      <wp:positionV relativeFrom="paragraph">
                        <wp:posOffset>-41275</wp:posOffset>
                      </wp:positionV>
                      <wp:extent cx="3693160" cy="366395"/>
                      <wp:effectExtent l="0" t="0" r="2540" b="0"/>
                      <wp:wrapNone/>
                      <wp:docPr id="2" name="Rectangle 2"/>
                      <wp:cNvGraphicFramePr/>
                      <a:graphic xmlns:a="http://schemas.openxmlformats.org/drawingml/2006/main">
                        <a:graphicData uri="http://schemas.microsoft.com/office/word/2010/wordprocessingShape">
                          <wps:wsp>
                            <wps:cNvSpPr/>
                            <wps:spPr>
                              <a:xfrm>
                                <a:off x="0" y="0"/>
                                <a:ext cx="3693160" cy="3663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F913B9" w14:textId="737F3E28" w:rsidR="00FF2A67" w:rsidRPr="00DF5D39" w:rsidRDefault="00FF2A67" w:rsidP="00FF2A67">
                                  <w:pPr>
                                    <w:spacing w:after="0" w:line="240" w:lineRule="auto"/>
                                    <w:rPr>
                                      <w:rFonts w:ascii="Adobe Garamond Pro" w:hAnsi="Adobe Garamond Pro"/>
                                      <w:sz w:val="14"/>
                                      <w:szCs w:val="14"/>
                                    </w:rPr>
                                  </w:pPr>
                                  <w:r w:rsidRPr="00DF5D39">
                                    <w:rPr>
                                      <w:rFonts w:ascii="Adobe Garamond Pro" w:hAnsi="Adobe Garamond Pro"/>
                                      <w:sz w:val="14"/>
                                      <w:szCs w:val="14"/>
                                    </w:rPr>
                                    <w:t>202</w:t>
                                  </w:r>
                                  <w:r w:rsidR="00CF2493">
                                    <w:rPr>
                                      <w:rFonts w:ascii="Adobe Garamond Pro" w:hAnsi="Adobe Garamond Pro"/>
                                      <w:sz w:val="14"/>
                                      <w:szCs w:val="14"/>
                                    </w:rPr>
                                    <w:t>4</w:t>
                                  </w:r>
                                  <w:r>
                                    <w:rPr>
                                      <w:rFonts w:ascii="Adobe Garamond Pro" w:hAnsi="Adobe Garamond Pro"/>
                                      <w:sz w:val="14"/>
                                      <w:szCs w:val="14"/>
                                    </w:rPr>
                                    <w:t>.</w:t>
                                  </w:r>
                                  <w:r w:rsidRPr="00DF5D39">
                                    <w:rPr>
                                      <w:rFonts w:ascii="Adobe Garamond Pro" w:hAnsi="Adobe Garamond Pro"/>
                                      <w:sz w:val="14"/>
                                      <w:szCs w:val="14"/>
                                    </w:rPr>
                                    <w:t xml:space="preserve"> The Author(s). This open-access article is distributed under a Creative Commons Attribution (CC-BY</w:t>
                                  </w:r>
                                  <w:r>
                                    <w:rPr>
                                      <w:rFonts w:ascii="Adobe Garamond Pro" w:hAnsi="Adobe Garamond Pro"/>
                                      <w:sz w:val="14"/>
                                      <w:szCs w:val="14"/>
                                    </w:rPr>
                                    <w:t>-SA</w:t>
                                  </w:r>
                                  <w:r w:rsidRPr="00DF5D39">
                                    <w:rPr>
                                      <w:rFonts w:ascii="Adobe Garamond Pro" w:hAnsi="Adobe Garamond Pro"/>
                                      <w:sz w:val="14"/>
                                      <w:szCs w:val="14"/>
                                    </w:rPr>
                                    <w:t>) 4.0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D311600" id="Rectangle 2" o:spid="_x0000_s1027" style="position:absolute;left:0;text-align:left;margin-left:115.1pt;margin-top:-3.25pt;width:290.8pt;height:2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" fillcolor="white [3201]" stroked="f" strokeweight="1pt">
                      <v:textbox>
                        <w:txbxContent>
                          <w:p w14:paraId="25F913B9" w14:textId="737F3E28" w:rsidR="00FF2A67" w:rsidRPr="00DF5D39" w:rsidRDefault="00FF2A67" w:rsidP="00FF2A67">
                            <w:pPr>
                              <w:spacing w:after="0" w:line="240" w:lineRule="auto"/>
                              <w:rPr>
                                <w:rFonts w:ascii="Adobe Garamond Pro" w:hAnsi="Adobe Garamond Pro"/>
                                <w:sz w:val="14"/>
                                <w:szCs w:val="14"/>
                              </w:rPr>
                            </w:pPr>
                            <w:r w:rsidRPr="00DF5D39">
                              <w:rPr>
                                <w:rFonts w:ascii="Adobe Garamond Pro" w:hAnsi="Adobe Garamond Pro"/>
                                <w:sz w:val="14"/>
                                <w:szCs w:val="14"/>
                              </w:rPr>
                              <w:t>202</w:t>
                            </w:r>
                            <w:r w:rsidR="00CF2493">
                              <w:rPr>
                                <w:rFonts w:ascii="Adobe Garamond Pro" w:hAnsi="Adobe Garamond Pro"/>
                                <w:sz w:val="14"/>
                                <w:szCs w:val="14"/>
                              </w:rPr>
                              <w:t>4</w:t>
                            </w:r>
                            <w:r>
                              <w:rPr>
                                <w:rFonts w:ascii="Adobe Garamond Pro" w:hAnsi="Adobe Garamond Pro"/>
                                <w:sz w:val="14"/>
                                <w:szCs w:val="14"/>
                              </w:rPr>
                              <w:t>.</w:t>
                            </w:r>
                            <w:r w:rsidRPr="00DF5D39">
                              <w:rPr>
                                <w:rFonts w:ascii="Adobe Garamond Pro" w:hAnsi="Adobe Garamond Pro"/>
                                <w:sz w:val="14"/>
                                <w:szCs w:val="14"/>
                              </w:rPr>
                              <w:t xml:space="preserve"> The Author(s). This open-access article is distributed under a Creative Commons Attribution (CC-BY</w:t>
                            </w:r>
                            <w:r>
                              <w:rPr>
                                <w:rFonts w:ascii="Adobe Garamond Pro" w:hAnsi="Adobe Garamond Pro"/>
                                <w:sz w:val="14"/>
                                <w:szCs w:val="14"/>
                              </w:rPr>
                              <w:t>-SA</w:t>
                            </w:r>
                            <w:r w:rsidRPr="00DF5D39">
                              <w:rPr>
                                <w:rFonts w:ascii="Adobe Garamond Pro" w:hAnsi="Adobe Garamond Pro"/>
                                <w:sz w:val="14"/>
                                <w:szCs w:val="14"/>
                              </w:rPr>
                              <w:t>) 4.0 license.</w:t>
                            </w:r>
                          </w:p>
                        </w:txbxContent>
                      </v:textbox>
                    </v:rect>
                  </w:pict>
                </mc:Fallback>
              </mc:AlternateContent>
            </w:r>
            <w:r w:rsidR="00FF2A67" w:rsidRPr="00043074">
              <w:rPr>
                <w:rFonts w:cstheme="minorHAnsi"/>
                <w:noProof/>
                <w:sz w:val="16"/>
                <w:szCs w:val="16"/>
              </w:rPr>
              <mc:AlternateContent>
                <mc:Choice Requires="wps">
                  <w:drawing>
                    <wp:anchor distT="0" distB="0" distL="114300" distR="114300" simplePos="0" relativeHeight="251662336" behindDoc="0" locked="0" layoutInCell="1" allowOverlap="1" wp14:anchorId="3BDB8D93" wp14:editId="70D313DF">
                      <wp:simplePos x="0" y="0"/>
                      <wp:positionH relativeFrom="column">
                        <wp:posOffset>639673</wp:posOffset>
                      </wp:positionH>
                      <wp:positionV relativeFrom="paragraph">
                        <wp:posOffset>-73253</wp:posOffset>
                      </wp:positionV>
                      <wp:extent cx="983895" cy="405993"/>
                      <wp:effectExtent l="0" t="0" r="0" b="0"/>
                      <wp:wrapNone/>
                      <wp:docPr id="7" name="Rectangle 7"/>
                      <wp:cNvGraphicFramePr/>
                      <a:graphic xmlns:a="http://schemas.openxmlformats.org/drawingml/2006/main">
                        <a:graphicData uri="http://schemas.microsoft.com/office/word/2010/wordprocessingShape">
                          <wps:wsp>
                            <wps:cNvSpPr/>
                            <wps:spPr>
                              <a:xfrm>
                                <a:off x="0" y="0"/>
                                <a:ext cx="983895" cy="4059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27195" w14:textId="77777777" w:rsidR="00FF2A67" w:rsidRDefault="00FF2A67" w:rsidP="00FF2A67">
                                  <w:pPr>
                                    <w:jc w:val="center"/>
                                  </w:pPr>
                                  <w:r>
                                    <w:rPr>
                                      <w:noProof/>
                                    </w:rPr>
                                    <w:drawing>
                                      <wp:inline distT="0" distB="0" distL="0" distR="0" wp14:anchorId="531EAE11" wp14:editId="5B089F3C">
                                        <wp:extent cx="756920" cy="276860"/>
                                        <wp:effectExtent l="0" t="0" r="5080" b="8890"/>
                                        <wp:docPr id="55" name="Picture 8"/>
                                        <wp:cNvGraphicFramePr/>
                                        <a:graphic xmlns:a="http://schemas.openxmlformats.org/drawingml/2006/main">
                                          <a:graphicData uri="http://schemas.openxmlformats.org/drawingml/2006/picture">
                                            <pic:pic xmlns:pic="http://schemas.openxmlformats.org/drawingml/2006/picture">
                                              <pic:nvPicPr>
                                                <pic:cNvPr id="21" name="Picture 8"/>
                                                <pic:cNvPicPr/>
                                              </pic:nvPicPr>
                                              <pic:blipFill>
                                                <a:blip r:embed="rId1">
                                                  <a:extLst>
                                                    <a:ext uri="{28A0092B-C50C-407E-A947-70E740481C1C}">
                                                      <a14:useLocalDpi xmlns:a14="http://schemas.microsoft.com/office/drawing/2010/main" val="0"/>
                                                    </a:ext>
                                                  </a:extLst>
                                                </a:blip>
                                                <a:srcRect l="2173" r="2173"/>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rect w14:anchorId="3BDB8D93" id="Rectangle 7" o:spid="_x0000_s1028" style="position:absolute;left:0;text-align:left;margin-left:50.35pt;margin-top:-5.75pt;width:77.45pt;height:31.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" filled="f" stroked="f" strokeweight="1pt">
                      <v:textbox>
                        <w:txbxContent>
                          <w:p w14:paraId="5F127195" w14:textId="77777777" w:rsidR="00FF2A67" w:rsidRDefault="00FF2A67" w:rsidP="00FF2A67">
                            <w:pPr>
                              <w:jc w:val="center"/>
                            </w:pPr>
                            <w:r>
                              <w:rPr>
                                <w:noProof/>
                              </w:rPr>
                              <w:drawing>
                                <wp:inline distT="0" distB="0" distL="0" distR="0" wp14:anchorId="531EAE11" wp14:editId="5B089F3C">
                                  <wp:extent cx="756920" cy="276860"/>
                                  <wp:effectExtent l="0" t="0" r="5080" b="8890"/>
                                  <wp:docPr id="55" name="Picture 8"/>
                                  <wp:cNvGraphicFramePr/>
                                  <a:graphic xmlns:a="http://schemas.openxmlformats.org/drawingml/2006/main">
                                    <a:graphicData uri="http://schemas.openxmlformats.org/drawingml/2006/picture">
                                      <pic:pic xmlns:pic="http://schemas.openxmlformats.org/drawingml/2006/picture">
                                        <pic:nvPicPr>
                                          <pic:cNvPr id="21" name="Picture 8"/>
                                          <pic:cNvPicPr/>
                                        </pic:nvPicPr>
                                        <pic:blipFill>
                                          <a:blip r:embed="rId2">
                                            <a:extLst>
                                              <a:ext uri="{28A0092B-C50C-407E-A947-70E740481C1C}">
                                                <a14:useLocalDpi xmlns:a14="http://schemas.microsoft.com/office/drawing/2010/main" val="0"/>
                                              </a:ext>
                                            </a:extLst>
                                          </a:blip>
                                          <a:srcRect l="2173" r="2173"/>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FF2A67" w:rsidRPr="00043074">
              <w:rPr>
                <w:rFonts w:cstheme="minorHAnsi"/>
                <w:noProof/>
                <w:sz w:val="16"/>
                <w:szCs w:val="16"/>
              </w:rPr>
              <mc:AlternateContent>
                <mc:Choice Requires="wps">
                  <w:drawing>
                    <wp:anchor distT="0" distB="0" distL="114300" distR="114300" simplePos="0" relativeHeight="251660288" behindDoc="0" locked="0" layoutInCell="1" allowOverlap="1" wp14:anchorId="6CAE3930" wp14:editId="72D4C4EB">
                      <wp:simplePos x="0" y="0"/>
                      <wp:positionH relativeFrom="column">
                        <wp:posOffset>1548130</wp:posOffset>
                      </wp:positionH>
                      <wp:positionV relativeFrom="paragraph">
                        <wp:posOffset>-7302</wp:posOffset>
                      </wp:positionV>
                      <wp:extent cx="41808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180840" cy="0"/>
                              </a:xfrm>
                              <a:prstGeom prst="line">
                                <a:avLst/>
                              </a:prstGeom>
                              <a:ln w="19050">
                                <a:solidFill>
                                  <a:srgbClr val="7B3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494576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pt,-.55pt" to="45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" strokecolor="#7b3f00" strokeweight="1.5pt">
                      <v:stroke joinstyle="miter"/>
                    </v:line>
                  </w:pict>
                </mc:Fallback>
              </mc:AlternateContent>
            </w:r>
            <w:r w:rsidR="00FF2A67" w:rsidRPr="00043074">
              <w:rPr>
                <w:rFonts w:cstheme="minorHAnsi"/>
                <w:sz w:val="16"/>
                <w:szCs w:val="16"/>
              </w:rPr>
              <w:t xml:space="preserve">Page </w:t>
            </w:r>
            <w:r w:rsidR="00FF2A67" w:rsidRPr="00043074">
              <w:rPr>
                <w:rFonts w:cstheme="minorHAnsi"/>
                <w:b/>
                <w:bCs/>
                <w:sz w:val="16"/>
                <w:szCs w:val="16"/>
              </w:rPr>
              <w:fldChar w:fldCharType="begin"/>
            </w:r>
            <w:r w:rsidR="00FF2A67" w:rsidRPr="00043074">
              <w:rPr>
                <w:rFonts w:cstheme="minorHAnsi"/>
                <w:b/>
                <w:bCs/>
                <w:sz w:val="16"/>
                <w:szCs w:val="16"/>
              </w:rPr>
              <w:instrText xml:space="preserve"> PAGE </w:instrText>
            </w:r>
            <w:r w:rsidR="00FF2A67" w:rsidRPr="00043074">
              <w:rPr>
                <w:rFonts w:cstheme="minorHAnsi"/>
                <w:b/>
                <w:bCs/>
                <w:sz w:val="16"/>
                <w:szCs w:val="16"/>
              </w:rPr>
              <w:fldChar w:fldCharType="separate"/>
            </w:r>
            <w:r w:rsidR="00773786">
              <w:rPr>
                <w:rFonts w:cstheme="minorHAnsi"/>
                <w:b/>
                <w:bCs/>
                <w:noProof/>
                <w:sz w:val="16"/>
                <w:szCs w:val="16"/>
              </w:rPr>
              <w:t>7</w:t>
            </w:r>
            <w:r w:rsidR="00FF2A67" w:rsidRPr="00043074">
              <w:rPr>
                <w:rFonts w:cstheme="minorHAnsi"/>
                <w:b/>
                <w:bCs/>
                <w:sz w:val="16"/>
                <w:szCs w:val="16"/>
              </w:rPr>
              <w:fldChar w:fldCharType="end"/>
            </w:r>
            <w:r w:rsidR="00FF2A67" w:rsidRPr="00043074">
              <w:rPr>
                <w:rFonts w:cstheme="minorHAnsi"/>
                <w:sz w:val="16"/>
                <w:szCs w:val="16"/>
              </w:rPr>
              <w:t xml:space="preserve"> of </w:t>
            </w:r>
            <w:r w:rsidR="00CF2493">
              <w:rPr>
                <w:rFonts w:cstheme="minorHAnsi"/>
                <w:b/>
                <w:bCs/>
                <w:sz w:val="16"/>
                <w:szCs w:val="16"/>
              </w:rPr>
              <w:t>102</w:t>
            </w:r>
            <w:r w:rsidR="00FF2A67">
              <w:rPr>
                <w:rFonts w:ascii="Corbel" w:hAnsi="Corbel"/>
                <w:b/>
                <w:bCs/>
                <w:sz w:val="18"/>
                <w:szCs w:val="18"/>
              </w:rPr>
              <w:t xml:space="preserve"> </w:t>
            </w:r>
          </w:p>
        </w:sdtContent>
      </w:sdt>
    </w:sdtContent>
  </w:sdt>
  <w:p w14:paraId="1305947C" w14:textId="77777777" w:rsidR="00FF2A67" w:rsidRDefault="0068041E" w:rsidP="0068041E">
    <w:pPr>
      <w:pStyle w:val="Footer"/>
      <w:tabs>
        <w:tab w:val="clear" w:pos="4680"/>
        <w:tab w:val="clear" w:pos="9360"/>
        <w:tab w:val="left" w:pos="2956"/>
        <w:tab w:val="left" w:pos="3027"/>
      </w:tabs>
    </w:pPr>
    <w:r>
      <w:tab/>
    </w:r>
    <w:r>
      <w:tab/>
    </w:r>
  </w:p>
  <w:p w14:paraId="581E2612" w14:textId="77777777" w:rsidR="00FF2A67" w:rsidRPr="00785A75" w:rsidRDefault="00FF2A67" w:rsidP="00FF2A67">
    <w:pPr>
      <w:pStyle w:val="Footer"/>
    </w:pPr>
  </w:p>
  <w:p w14:paraId="17A77641" w14:textId="77777777" w:rsidR="006D7633" w:rsidRPr="00FF2A67" w:rsidRDefault="006D7633" w:rsidP="00FF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B4428" w14:textId="77777777" w:rsidR="00E66C08" w:rsidRDefault="00E66C08">
      <w:pPr>
        <w:spacing w:after="0" w:line="240" w:lineRule="auto"/>
      </w:pPr>
      <w:r>
        <w:separator/>
      </w:r>
    </w:p>
  </w:footnote>
  <w:footnote w:type="continuationSeparator" w:id="0">
    <w:p w14:paraId="6CEA8176" w14:textId="77777777" w:rsidR="00E66C08" w:rsidRDefault="00E66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A800B" w14:textId="21F57E72" w:rsidR="006D7633" w:rsidRDefault="00CF2493">
    <w:pPr>
      <w:pBdr>
        <w:top w:val="nil"/>
        <w:left w:val="nil"/>
        <w:bottom w:val="nil"/>
        <w:right w:val="nil"/>
        <w:between w:val="nil"/>
      </w:pBdr>
      <w:tabs>
        <w:tab w:val="center" w:pos="4680"/>
        <w:tab w:val="right" w:pos="9360"/>
      </w:tabs>
      <w:spacing w:after="0" w:line="240" w:lineRule="auto"/>
      <w:ind w:left="-709"/>
      <w:rPr>
        <w:color w:val="000000"/>
        <w:sz w:val="14"/>
        <w:szCs w:val="14"/>
      </w:rPr>
    </w:pPr>
    <w:r w:rsidRPr="00CF2493">
      <w:rPr>
        <w:color w:val="000000"/>
        <w:sz w:val="14"/>
        <w:szCs w:val="14"/>
      </w:rPr>
      <w:t>Mohammad Ridwan Rumasukun</w:t>
    </w:r>
    <w:r>
      <w:rPr>
        <w:color w:val="000000"/>
        <w:sz w:val="14"/>
        <w:szCs w:val="14"/>
      </w:rPr>
      <w:t xml:space="preserve"> &amp;</w:t>
    </w:r>
    <w:r w:rsidRPr="00CF2493">
      <w:rPr>
        <w:color w:val="000000"/>
        <w:sz w:val="14"/>
        <w:szCs w:val="14"/>
      </w:rPr>
      <w:t xml:space="preserve"> Muhammad Yamin Noch</w:t>
    </w:r>
    <w:r w:rsidR="004A511C">
      <w:rPr>
        <w:color w:val="000000"/>
        <w:sz w:val="14"/>
        <w:szCs w:val="14"/>
      </w:rPr>
      <w:t xml:space="preserve">, </w:t>
    </w:r>
    <w:r w:rsidR="004A511C">
      <w:rPr>
        <w:i/>
        <w:color w:val="000000"/>
        <w:sz w:val="14"/>
        <w:szCs w:val="14"/>
      </w:rPr>
      <w:t>Golden Ratio of Taxation Studies</w:t>
    </w:r>
    <w:r w:rsidR="004A511C">
      <w:rPr>
        <w:color w:val="000000"/>
        <w:sz w:val="14"/>
        <w:szCs w:val="14"/>
      </w:rPr>
      <w:t>, Vol.</w:t>
    </w:r>
    <w:r>
      <w:rPr>
        <w:color w:val="000000"/>
        <w:sz w:val="14"/>
        <w:szCs w:val="14"/>
      </w:rPr>
      <w:t>4</w:t>
    </w:r>
    <w:r w:rsidR="004A511C">
      <w:rPr>
        <w:color w:val="000000"/>
        <w:sz w:val="14"/>
        <w:szCs w:val="14"/>
      </w:rPr>
      <w:t xml:space="preserve">, Issue. </w:t>
    </w:r>
    <w:r>
      <w:rPr>
        <w:color w:val="000000"/>
        <w:sz w:val="14"/>
        <w:szCs w:val="14"/>
      </w:rPr>
      <w:t>2</w:t>
    </w:r>
    <w:r w:rsidR="004A511C">
      <w:rPr>
        <w:color w:val="000000"/>
        <w:sz w:val="14"/>
        <w:szCs w:val="14"/>
      </w:rPr>
      <w:t xml:space="preserve"> (202</w:t>
    </w:r>
    <w:r>
      <w:rPr>
        <w:color w:val="000000"/>
        <w:sz w:val="14"/>
        <w:szCs w:val="14"/>
      </w:rPr>
      <w:t>4</w:t>
    </w:r>
    <w:r w:rsidR="004A511C">
      <w:rPr>
        <w:color w:val="000000"/>
        <w:sz w:val="14"/>
        <w:szCs w:val="14"/>
      </w:rPr>
      <w:t xml:space="preserve">) </w:t>
    </w:r>
    <w:r w:rsidR="004A511C">
      <w:rPr>
        <w:noProof/>
      </w:rPr>
      <w:drawing>
        <wp:anchor distT="0" distB="0" distL="0" distR="0" simplePos="0" relativeHeight="251658240" behindDoc="0" locked="0" layoutInCell="1" hidden="0" allowOverlap="1" wp14:anchorId="5FE552EC" wp14:editId="7BAB1427">
          <wp:simplePos x="0" y="0"/>
          <wp:positionH relativeFrom="column">
            <wp:posOffset>4879763</wp:posOffset>
          </wp:positionH>
          <wp:positionV relativeFrom="paragraph">
            <wp:posOffset>-68579</wp:posOffset>
          </wp:positionV>
          <wp:extent cx="885190" cy="359410"/>
          <wp:effectExtent l="0" t="0" r="0" b="0"/>
          <wp:wrapSquare wrapText="bothSides" distT="0" distB="0" distL="0" distR="0"/>
          <wp:docPr id="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85190" cy="359410"/>
                  </a:xfrm>
                  <a:prstGeom prst="rect">
                    <a:avLst/>
                  </a:prstGeom>
                  <a:ln/>
                </pic:spPr>
              </pic:pic>
            </a:graphicData>
          </a:graphic>
        </wp:anchor>
      </w:drawing>
    </w:r>
  </w:p>
  <w:p w14:paraId="6DFF2BAA" w14:textId="195FF8AB" w:rsidR="006D7633" w:rsidRDefault="00E66C08">
    <w:pPr>
      <w:pBdr>
        <w:top w:val="nil"/>
        <w:left w:val="nil"/>
        <w:bottom w:val="nil"/>
        <w:right w:val="nil"/>
        <w:between w:val="nil"/>
      </w:pBdr>
      <w:tabs>
        <w:tab w:val="center" w:pos="4680"/>
        <w:tab w:val="right" w:pos="9360"/>
      </w:tabs>
      <w:spacing w:after="0" w:line="240" w:lineRule="auto"/>
      <w:ind w:left="-709"/>
      <w:rPr>
        <w:color w:val="000000"/>
        <w:sz w:val="14"/>
        <w:szCs w:val="14"/>
      </w:rPr>
    </w:pPr>
    <w:hyperlink r:id="rId2">
      <w:r w:rsidR="004A511C">
        <w:rPr>
          <w:color w:val="0563C1"/>
          <w:sz w:val="14"/>
          <w:szCs w:val="14"/>
          <w:u w:val="single"/>
        </w:rPr>
        <w:t>https://doi.org/10.52970/</w:t>
      </w:r>
      <w:r w:rsidR="00B16009" w:rsidRPr="00B16009">
        <w:rPr>
          <w:color w:val="0563C1"/>
          <w:sz w:val="14"/>
          <w:szCs w:val="14"/>
          <w:u w:val="single"/>
        </w:rPr>
        <w:t xml:space="preserve">10.52970/grts.v2i1.72 </w:t>
      </w:r>
    </w:hyperlink>
  </w:p>
  <w:p w14:paraId="713B1AC1" w14:textId="77777777" w:rsidR="006D7633" w:rsidRDefault="006D7633">
    <w:pPr>
      <w:pBdr>
        <w:top w:val="nil"/>
        <w:left w:val="nil"/>
        <w:bottom w:val="nil"/>
        <w:right w:val="nil"/>
        <w:between w:val="nil"/>
      </w:pBdr>
      <w:tabs>
        <w:tab w:val="center" w:pos="4680"/>
        <w:tab w:val="right" w:pos="9360"/>
      </w:tabs>
      <w:spacing w:after="0" w:line="240" w:lineRule="auto"/>
      <w:ind w:left="-709"/>
      <w:rPr>
        <w:color w:val="000000"/>
        <w:sz w:val="14"/>
        <w:szCs w:val="14"/>
      </w:rPr>
    </w:pPr>
  </w:p>
  <w:p w14:paraId="037E6404" w14:textId="77777777" w:rsidR="006D7633" w:rsidRDefault="004A511C">
    <w:pPr>
      <w:pBdr>
        <w:top w:val="nil"/>
        <w:left w:val="nil"/>
        <w:bottom w:val="nil"/>
        <w:right w:val="nil"/>
        <w:between w:val="nil"/>
      </w:pBdr>
      <w:tabs>
        <w:tab w:val="center" w:pos="4680"/>
        <w:tab w:val="right" w:pos="9360"/>
      </w:tabs>
      <w:spacing w:after="0" w:line="240" w:lineRule="auto"/>
      <w:ind w:left="-709"/>
      <w:rPr>
        <w:color w:val="000000"/>
        <w:sz w:val="14"/>
        <w:szCs w:val="14"/>
      </w:rPr>
    </w:pPr>
    <w:r>
      <w:rPr>
        <w:color w:val="000000"/>
        <w:sz w:val="14"/>
        <w:szCs w:val="14"/>
      </w:rPr>
      <w:t xml:space="preserve">Website: </w:t>
    </w:r>
    <w:hyperlink r:id="rId3">
      <w:r>
        <w:rPr>
          <w:color w:val="0563C1"/>
          <w:sz w:val="14"/>
          <w:szCs w:val="14"/>
          <w:u w:val="single"/>
        </w:rPr>
        <w:t>https://goldenratio.id/index.php/grts/index</w:t>
      </w:r>
    </w:hyperlink>
    <w:r>
      <w:rPr>
        <w:color w:val="000000"/>
        <w:sz w:val="14"/>
        <w:szCs w:val="14"/>
      </w:rPr>
      <w:t xml:space="preserve"> </w:t>
    </w:r>
    <w:r>
      <w:rPr>
        <w:color w:val="000000"/>
        <w:sz w:val="14"/>
        <w:szCs w:val="14"/>
      </w:rPr>
      <w:tab/>
    </w:r>
    <w:r>
      <w:rPr>
        <w:color w:val="000000"/>
        <w:sz w:val="14"/>
        <w:szCs w:val="14"/>
      </w:rPr>
      <w:tab/>
      <w:t xml:space="preserve">ISSN [Online] </w:t>
    </w:r>
    <w:hyperlink r:id="rId4">
      <w:r>
        <w:rPr>
          <w:color w:val="0563C1"/>
          <w:sz w:val="14"/>
          <w:szCs w:val="14"/>
          <w:u w:val="single"/>
        </w:rPr>
        <w:t>2776-7868</w:t>
      </w:r>
    </w:hyperlink>
    <w:r>
      <w:rPr>
        <w:color w:val="000000"/>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001D9"/>
    <w:multiLevelType w:val="hybridMultilevel"/>
    <w:tmpl w:val="F93E77BA"/>
    <w:lvl w:ilvl="0" w:tplc="9B4E79BE">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193673AD"/>
    <w:multiLevelType w:val="hybridMultilevel"/>
    <w:tmpl w:val="6EDC79C4"/>
    <w:lvl w:ilvl="0" w:tplc="04090019">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2" w15:restartNumberingAfterBreak="0">
    <w:nsid w:val="1A474B2F"/>
    <w:multiLevelType w:val="multilevel"/>
    <w:tmpl w:val="079672F4"/>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3" w15:restartNumberingAfterBreak="0">
    <w:nsid w:val="1A712406"/>
    <w:multiLevelType w:val="multilevel"/>
    <w:tmpl w:val="4CC6A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A100B9"/>
    <w:multiLevelType w:val="multilevel"/>
    <w:tmpl w:val="B91CE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7758E4"/>
    <w:multiLevelType w:val="multilevel"/>
    <w:tmpl w:val="D0A01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6B7815"/>
    <w:multiLevelType w:val="multilevel"/>
    <w:tmpl w:val="FC2816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CE75476"/>
    <w:multiLevelType w:val="multilevel"/>
    <w:tmpl w:val="F3B64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7C2225"/>
    <w:multiLevelType w:val="multilevel"/>
    <w:tmpl w:val="7C264D78"/>
    <w:lvl w:ilvl="0">
      <w:start w:val="1"/>
      <w:numFmt w:val="decimal"/>
      <w:lvlText w:val="%1."/>
      <w:lvlJc w:val="left"/>
      <w:pPr>
        <w:ind w:left="2770" w:hanging="360"/>
      </w:pPr>
      <w:rPr>
        <w:rFonts w:ascii="Calibri" w:eastAsia="Calibri" w:hAnsi="Calibri" w:cs="Calibri"/>
        <w:b/>
        <w:color w:val="7B3F00"/>
        <w:sz w:val="22"/>
        <w:szCs w:val="22"/>
      </w:rPr>
    </w:lvl>
    <w:lvl w:ilvl="1">
      <w:start w:val="1"/>
      <w:numFmt w:val="decimal"/>
      <w:lvlText w:val="%1.%2."/>
      <w:lvlJc w:val="left"/>
      <w:pPr>
        <w:ind w:left="2770" w:hanging="360"/>
      </w:pPr>
      <w:rPr>
        <w:rFonts w:ascii="Calibri" w:eastAsia="Calibri" w:hAnsi="Calibri" w:cs="Calibri"/>
        <w:i/>
        <w:color w:val="7B3F00"/>
      </w:rPr>
    </w:lvl>
    <w:lvl w:ilvl="2">
      <w:start w:val="1"/>
      <w:numFmt w:val="decimal"/>
      <w:lvlText w:val="%1.%2.%3."/>
      <w:lvlJc w:val="left"/>
      <w:pPr>
        <w:ind w:left="3130" w:hanging="720"/>
      </w:pPr>
    </w:lvl>
    <w:lvl w:ilvl="3">
      <w:start w:val="1"/>
      <w:numFmt w:val="decimal"/>
      <w:lvlText w:val="%1.%2.%3.%4."/>
      <w:lvlJc w:val="left"/>
      <w:pPr>
        <w:ind w:left="3130" w:hanging="720"/>
      </w:pPr>
    </w:lvl>
    <w:lvl w:ilvl="4">
      <w:start w:val="1"/>
      <w:numFmt w:val="decimal"/>
      <w:lvlText w:val="%1.%2.%3.%4.%5."/>
      <w:lvlJc w:val="left"/>
      <w:pPr>
        <w:ind w:left="3490" w:hanging="1080"/>
      </w:pPr>
    </w:lvl>
    <w:lvl w:ilvl="5">
      <w:start w:val="1"/>
      <w:numFmt w:val="decimal"/>
      <w:lvlText w:val="%1.%2.%3.%4.%5.%6."/>
      <w:lvlJc w:val="left"/>
      <w:pPr>
        <w:ind w:left="3490" w:hanging="1080"/>
      </w:pPr>
    </w:lvl>
    <w:lvl w:ilvl="6">
      <w:start w:val="1"/>
      <w:numFmt w:val="decimal"/>
      <w:lvlText w:val="%1.%2.%3.%4.%5.%6.%7."/>
      <w:lvlJc w:val="left"/>
      <w:pPr>
        <w:ind w:left="3490" w:hanging="1080"/>
      </w:pPr>
    </w:lvl>
    <w:lvl w:ilvl="7">
      <w:start w:val="1"/>
      <w:numFmt w:val="decimal"/>
      <w:lvlText w:val="%1.%2.%3.%4.%5.%6.%7.%8."/>
      <w:lvlJc w:val="left"/>
      <w:pPr>
        <w:ind w:left="3850" w:hanging="1440"/>
      </w:pPr>
    </w:lvl>
    <w:lvl w:ilvl="8">
      <w:start w:val="1"/>
      <w:numFmt w:val="decimal"/>
      <w:lvlText w:val="%1.%2.%3.%4.%5.%6.%7.%8.%9."/>
      <w:lvlJc w:val="left"/>
      <w:pPr>
        <w:ind w:left="3850" w:hanging="1440"/>
      </w:pPr>
    </w:lvl>
  </w:abstractNum>
  <w:abstractNum w:abstractNumId="9" w15:restartNumberingAfterBreak="0">
    <w:nsid w:val="321B78ED"/>
    <w:multiLevelType w:val="multilevel"/>
    <w:tmpl w:val="E2B49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A53033"/>
    <w:multiLevelType w:val="hybridMultilevel"/>
    <w:tmpl w:val="845C5652"/>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15:restartNumberingAfterBreak="0">
    <w:nsid w:val="37E519BA"/>
    <w:multiLevelType w:val="multilevel"/>
    <w:tmpl w:val="66542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751F85"/>
    <w:multiLevelType w:val="hybridMultilevel"/>
    <w:tmpl w:val="D38C289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3" w15:restartNumberingAfterBreak="0">
    <w:nsid w:val="3AAB72FF"/>
    <w:multiLevelType w:val="multilevel"/>
    <w:tmpl w:val="ECF0551C"/>
    <w:lvl w:ilvl="0">
      <w:start w:val="1"/>
      <w:numFmt w:val="decimal"/>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14" w15:restartNumberingAfterBreak="0">
    <w:nsid w:val="3C2F1103"/>
    <w:multiLevelType w:val="hybridMultilevel"/>
    <w:tmpl w:val="1F6E222C"/>
    <w:lvl w:ilvl="0" w:tplc="20FA706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15:restartNumberingAfterBreak="0">
    <w:nsid w:val="3D6A39EA"/>
    <w:multiLevelType w:val="multilevel"/>
    <w:tmpl w:val="FD2AE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E227EE"/>
    <w:multiLevelType w:val="multilevel"/>
    <w:tmpl w:val="05E8046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7" w15:restartNumberingAfterBreak="0">
    <w:nsid w:val="3FA842FA"/>
    <w:multiLevelType w:val="hybridMultilevel"/>
    <w:tmpl w:val="8732112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15:restartNumberingAfterBreak="0">
    <w:nsid w:val="4F2E4FD3"/>
    <w:multiLevelType w:val="multilevel"/>
    <w:tmpl w:val="11F401FC"/>
    <w:lvl w:ilvl="0">
      <w:start w:val="1"/>
      <w:numFmt w:val="decimal"/>
      <w:lvlText w:val="%1."/>
      <w:lvlJc w:val="left"/>
      <w:pPr>
        <w:ind w:left="950" w:hanging="360"/>
      </w:pPr>
    </w:lvl>
    <w:lvl w:ilvl="1">
      <w:start w:val="1"/>
      <w:numFmt w:val="lowerLetter"/>
      <w:lvlText w:val="%2."/>
      <w:lvlJc w:val="left"/>
      <w:pPr>
        <w:ind w:left="1670" w:hanging="360"/>
      </w:pPr>
    </w:lvl>
    <w:lvl w:ilvl="2">
      <w:start w:val="1"/>
      <w:numFmt w:val="lowerRoman"/>
      <w:lvlText w:val="%3."/>
      <w:lvlJc w:val="right"/>
      <w:pPr>
        <w:ind w:left="2390" w:hanging="180"/>
      </w:pPr>
    </w:lvl>
    <w:lvl w:ilvl="3">
      <w:start w:val="1"/>
      <w:numFmt w:val="decimal"/>
      <w:lvlText w:val="%4."/>
      <w:lvlJc w:val="left"/>
      <w:pPr>
        <w:ind w:left="3110" w:hanging="360"/>
      </w:pPr>
    </w:lvl>
    <w:lvl w:ilvl="4">
      <w:start w:val="1"/>
      <w:numFmt w:val="lowerLetter"/>
      <w:lvlText w:val="%5."/>
      <w:lvlJc w:val="left"/>
      <w:pPr>
        <w:ind w:left="3830" w:hanging="360"/>
      </w:pPr>
    </w:lvl>
    <w:lvl w:ilvl="5">
      <w:start w:val="1"/>
      <w:numFmt w:val="lowerRoman"/>
      <w:lvlText w:val="%6."/>
      <w:lvlJc w:val="right"/>
      <w:pPr>
        <w:ind w:left="4550" w:hanging="180"/>
      </w:pPr>
    </w:lvl>
    <w:lvl w:ilvl="6">
      <w:start w:val="1"/>
      <w:numFmt w:val="decimal"/>
      <w:lvlText w:val="%7."/>
      <w:lvlJc w:val="left"/>
      <w:pPr>
        <w:ind w:left="5270" w:hanging="360"/>
      </w:pPr>
    </w:lvl>
    <w:lvl w:ilvl="7">
      <w:start w:val="1"/>
      <w:numFmt w:val="lowerLetter"/>
      <w:lvlText w:val="%8."/>
      <w:lvlJc w:val="left"/>
      <w:pPr>
        <w:ind w:left="5990" w:hanging="360"/>
      </w:pPr>
    </w:lvl>
    <w:lvl w:ilvl="8">
      <w:start w:val="1"/>
      <w:numFmt w:val="lowerRoman"/>
      <w:lvlText w:val="%9."/>
      <w:lvlJc w:val="right"/>
      <w:pPr>
        <w:ind w:left="6710" w:hanging="180"/>
      </w:pPr>
    </w:lvl>
  </w:abstractNum>
  <w:abstractNum w:abstractNumId="19" w15:restartNumberingAfterBreak="0">
    <w:nsid w:val="67A913B1"/>
    <w:multiLevelType w:val="multilevel"/>
    <w:tmpl w:val="569AD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346AD9"/>
    <w:multiLevelType w:val="multilevel"/>
    <w:tmpl w:val="AB10F9D2"/>
    <w:lvl w:ilvl="0">
      <w:start w:val="1"/>
      <w:numFmt w:val="decimal"/>
      <w:lvlText w:val="%1."/>
      <w:lvlJc w:val="left"/>
      <w:pPr>
        <w:ind w:left="720" w:hanging="360"/>
      </w:pPr>
    </w:lvl>
    <w:lvl w:ilvl="1">
      <w:start w:val="1"/>
      <w:numFmt w:val="lowerLetter"/>
      <w:lvlText w:val="%2."/>
      <w:lvlJc w:val="left"/>
      <w:pPr>
        <w:ind w:left="1440" w:hanging="360"/>
      </w:pPr>
      <w:rPr>
        <w:rFonts w:ascii="Trebuchet MS" w:eastAsia="Trebuchet MS" w:hAnsi="Trebuchet MS" w:cs="Trebuchet M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777A0C"/>
    <w:multiLevelType w:val="hybridMultilevel"/>
    <w:tmpl w:val="6A9C65A4"/>
    <w:lvl w:ilvl="0" w:tplc="4804421A">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15:restartNumberingAfterBreak="0">
    <w:nsid w:val="6C345007"/>
    <w:multiLevelType w:val="multilevel"/>
    <w:tmpl w:val="AECC38D6"/>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3" w15:restartNumberingAfterBreak="0">
    <w:nsid w:val="70257F82"/>
    <w:multiLevelType w:val="multilevel"/>
    <w:tmpl w:val="F5EAD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B45685"/>
    <w:multiLevelType w:val="multilevel"/>
    <w:tmpl w:val="E124E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1B0276"/>
    <w:multiLevelType w:val="multilevel"/>
    <w:tmpl w:val="358C9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15"/>
  </w:num>
  <w:num w:numId="4">
    <w:abstractNumId w:val="20"/>
  </w:num>
  <w:num w:numId="5">
    <w:abstractNumId w:val="18"/>
  </w:num>
  <w:num w:numId="6">
    <w:abstractNumId w:val="11"/>
  </w:num>
  <w:num w:numId="7">
    <w:abstractNumId w:val="5"/>
  </w:num>
  <w:num w:numId="8">
    <w:abstractNumId w:val="16"/>
  </w:num>
  <w:num w:numId="9">
    <w:abstractNumId w:val="13"/>
  </w:num>
  <w:num w:numId="10">
    <w:abstractNumId w:val="2"/>
  </w:num>
  <w:num w:numId="11">
    <w:abstractNumId w:val="23"/>
  </w:num>
  <w:num w:numId="12">
    <w:abstractNumId w:val="3"/>
  </w:num>
  <w:num w:numId="13">
    <w:abstractNumId w:val="8"/>
  </w:num>
  <w:num w:numId="14">
    <w:abstractNumId w:val="22"/>
  </w:num>
  <w:num w:numId="15">
    <w:abstractNumId w:val="7"/>
  </w:num>
  <w:num w:numId="16">
    <w:abstractNumId w:val="19"/>
  </w:num>
  <w:num w:numId="17">
    <w:abstractNumId w:val="24"/>
  </w:num>
  <w:num w:numId="18">
    <w:abstractNumId w:val="25"/>
  </w:num>
  <w:num w:numId="19">
    <w:abstractNumId w:val="9"/>
  </w:num>
  <w:num w:numId="20">
    <w:abstractNumId w:val="10"/>
  </w:num>
  <w:num w:numId="21">
    <w:abstractNumId w:val="0"/>
  </w:num>
  <w:num w:numId="22">
    <w:abstractNumId w:val="12"/>
  </w:num>
  <w:num w:numId="23">
    <w:abstractNumId w:val="21"/>
  </w:num>
  <w:num w:numId="24">
    <w:abstractNumId w:val="1"/>
  </w:num>
  <w:num w:numId="25">
    <w:abstractNumId w:val="1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0s7QwMba0MDc1MDRX0lEKTi0uzszPAykwrAUAt+yMzCwAAAA="/>
  </w:docVars>
  <w:rsids>
    <w:rsidRoot w:val="006D7633"/>
    <w:rsid w:val="00136A40"/>
    <w:rsid w:val="00191D3A"/>
    <w:rsid w:val="003424FC"/>
    <w:rsid w:val="003C27B9"/>
    <w:rsid w:val="003E63A7"/>
    <w:rsid w:val="004A511C"/>
    <w:rsid w:val="004F084D"/>
    <w:rsid w:val="00536682"/>
    <w:rsid w:val="0068041E"/>
    <w:rsid w:val="006C118C"/>
    <w:rsid w:val="006D7633"/>
    <w:rsid w:val="00773786"/>
    <w:rsid w:val="00784E38"/>
    <w:rsid w:val="008230E4"/>
    <w:rsid w:val="008245CE"/>
    <w:rsid w:val="008F331A"/>
    <w:rsid w:val="00AF425A"/>
    <w:rsid w:val="00B16009"/>
    <w:rsid w:val="00BC5F52"/>
    <w:rsid w:val="00C81847"/>
    <w:rsid w:val="00CD1B10"/>
    <w:rsid w:val="00CF2493"/>
    <w:rsid w:val="00D3538A"/>
    <w:rsid w:val="00D7309E"/>
    <w:rsid w:val="00DC63EE"/>
    <w:rsid w:val="00E41FDB"/>
    <w:rsid w:val="00E66C08"/>
    <w:rsid w:val="00EE4A52"/>
    <w:rsid w:val="00FF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5C951"/>
  <w15:docId w15:val="{344161BE-879D-4677-B6C8-EEA8EBFF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customStyle="1" w:styleId="UnresolvedMention1">
    <w:name w:val="Unresolved Mention1"/>
    <w:basedOn w:val="DefaultParagraphFont"/>
    <w:uiPriority w:val="99"/>
    <w:semiHidden/>
    <w:unhideWhenUsed/>
    <w:rsid w:val="00A704FE"/>
    <w:rPr>
      <w:color w:val="605E5C"/>
      <w:shd w:val="clear" w:color="auto" w:fill="E1DFDD"/>
    </w:rPr>
  </w:style>
  <w:style w:type="paragraph" w:styleId="ListParagraph">
    <w:name w:val="List Paragraph"/>
    <w:aliases w:val="Body of text,Body Text Char1,Char Char2,List Paragraph1,List Paragraph2,kepala,skripsi,Body of text+1,Body of text+2,Body of text+3,List Paragraph11,Medium Grid 1 - Accent 21,Colorful List - Accent 11,kepala 1,KEPALA 3,HEADING 1"/>
    <w:basedOn w:val="Normal"/>
    <w:link w:val="ListParagraphChar"/>
    <w:uiPriority w:val="34"/>
    <w:qFormat/>
    <w:rsid w:val="00A704FE"/>
    <w:pPr>
      <w:ind w:left="720"/>
      <w:contextualSpacing/>
    </w:pPr>
  </w:style>
  <w:style w:type="table" w:styleId="TableGrid">
    <w:name w:val="Table Grid"/>
    <w:basedOn w:val="TableNormal"/>
    <w:uiPriority w:val="39"/>
    <w:rsid w:val="002348C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Body Text Char1 Char,Char Char2 Char,List Paragraph1 Char,List Paragraph2 Char,kepala Char,skripsi Char,Body of text+1 Char,Body of text+2 Char,Body of text+3 Char,List Paragraph11 Char,kepala 1 Char,KEPALA 3 Char"/>
    <w:basedOn w:val="DefaultParagraphFont"/>
    <w:link w:val="ListParagraph"/>
    <w:uiPriority w:val="34"/>
    <w:qFormat/>
    <w:locked/>
    <w:rsid w:val="008B6F3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3E63A7"/>
    <w:pPr>
      <w:widowControl w:val="0"/>
      <w:autoSpaceDE w:val="0"/>
      <w:autoSpaceDN w:val="0"/>
      <w:spacing w:before="3" w:after="0" w:line="247" w:lineRule="exact"/>
      <w:jc w:val="right"/>
    </w:pPr>
    <w:rPr>
      <w:rFonts w:ascii="Times New Roman" w:eastAsia="Times New Roman" w:hAnsi="Times New Roman" w:cs="Times New Roman"/>
      <w:lang w:val="en"/>
    </w:rPr>
  </w:style>
  <w:style w:type="character" w:styleId="UnresolvedMention">
    <w:name w:val="Unresolved Mention"/>
    <w:basedOn w:val="DefaultParagraphFont"/>
    <w:uiPriority w:val="99"/>
    <w:semiHidden/>
    <w:unhideWhenUsed/>
    <w:rsid w:val="00B16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ienoch12@gmail.com" TargetMode="External"/><Relationship Id="rId18" Type="http://schemas.openxmlformats.org/officeDocument/2006/relationships/hyperlink" Target="https://doi.org/10.2139/ssrn.3561782" TargetMode="External"/><Relationship Id="rId26" Type="http://schemas.openxmlformats.org/officeDocument/2006/relationships/hyperlink" Target="https://doi.org/10.1093/restud/rdz035" TargetMode="External"/><Relationship Id="rId39" Type="http://schemas.openxmlformats.org/officeDocument/2006/relationships/hyperlink" Target="https://doi.org/10.1017/S0007485321000309" TargetMode="External"/><Relationship Id="rId21" Type="http://schemas.openxmlformats.org/officeDocument/2006/relationships/hyperlink" Target="https://doi.org/10.2139/ssrn.3327543" TargetMode="External"/><Relationship Id="rId34" Type="http://schemas.openxmlformats.org/officeDocument/2006/relationships/hyperlink" Target="https://doi.org/10.1017/S1474745620000287" TargetMode="External"/><Relationship Id="rId42" Type="http://schemas.openxmlformats.org/officeDocument/2006/relationships/hyperlink" Target="https://doi.org/10.1787/2b9cb08e-en"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2139/ssrn.3891681" TargetMode="External"/><Relationship Id="rId29" Type="http://schemas.openxmlformats.org/officeDocument/2006/relationships/hyperlink" Target="https://doi.org/10.1111/j.1471-1842.2009.00848.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ienoch12@gmail.com" TargetMode="External"/><Relationship Id="rId24" Type="http://schemas.openxmlformats.org/officeDocument/2006/relationships/hyperlink" Target="https://doi.org/10.1080/00343404.2020.1835885" TargetMode="External"/><Relationship Id="rId32" Type="http://schemas.openxmlformats.org/officeDocument/2006/relationships/hyperlink" Target="https://doi.org/10.1016/j.jmoneco.2019.02.002" TargetMode="External"/><Relationship Id="rId37" Type="http://schemas.openxmlformats.org/officeDocument/2006/relationships/hyperlink" Target="https://doi.org/10.7864/j.ctv7h0nbd" TargetMode="External"/><Relationship Id="rId40" Type="http://schemas.openxmlformats.org/officeDocument/2006/relationships/hyperlink" Target="https://doi.org/10.1007/s00048-020-00234-8" TargetMode="External"/><Relationship Id="rId45" Type="http://schemas.openxmlformats.org/officeDocument/2006/relationships/hyperlink" Target="https://doi.org/10.1016/j.jcorpfin.2020.101894"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i.org/10.1007/s10797-018-9503-9" TargetMode="External"/><Relationship Id="rId28" Type="http://schemas.openxmlformats.org/officeDocument/2006/relationships/hyperlink" Target="https://doi.org/10.20955/ejw.2017.25" TargetMode="External"/><Relationship Id="rId36" Type="http://schemas.openxmlformats.org/officeDocument/2006/relationships/hyperlink" Target="https://doi.org/10.1016/j.aos.2019.101098" TargetMode="External"/><Relationship Id="rId10" Type="http://schemas.openxmlformats.org/officeDocument/2006/relationships/hyperlink" Target="mailto:iwanrr2018@gmail.com" TargetMode="External"/><Relationship Id="rId19" Type="http://schemas.openxmlformats.org/officeDocument/2006/relationships/hyperlink" Target="https://doi.org/10.1191/1478088706qp063oa" TargetMode="External"/><Relationship Id="rId31" Type="http://schemas.openxmlformats.org/officeDocument/2006/relationships/hyperlink" Target="https://doi.org/10.1257/jep.33.1.27" TargetMode="External"/><Relationship Id="rId44" Type="http://schemas.openxmlformats.org/officeDocument/2006/relationships/hyperlink" Target="https://doi.org/10.2307/134171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doi.org/10.17310/ntj.2020.3.11" TargetMode="External"/><Relationship Id="rId27" Type="http://schemas.openxmlformats.org/officeDocument/2006/relationships/hyperlink" Target="https://doi.org/10.1093/law/9780198818035.001.0001" TargetMode="External"/><Relationship Id="rId30" Type="http://schemas.openxmlformats.org/officeDocument/2006/relationships/hyperlink" Target="https://doi.org/10.17310/ntj.2019.3.08" TargetMode="External"/><Relationship Id="rId35" Type="http://schemas.openxmlformats.org/officeDocument/2006/relationships/hyperlink" Target="https://doi.org/10.1093/oso/9780190939469.001.0001" TargetMode="External"/><Relationship Id="rId43" Type="http://schemas.openxmlformats.org/officeDocument/2006/relationships/hyperlink" Target="https://doi.org/10.1787/eb11ab4f-en"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abienoch12@gmail.com" TargetMode="External"/><Relationship Id="rId17" Type="http://schemas.openxmlformats.org/officeDocument/2006/relationships/hyperlink" Target="https://doi.org/10.2139/ssrn.3596678" TargetMode="External"/><Relationship Id="rId25" Type="http://schemas.openxmlformats.org/officeDocument/2006/relationships/hyperlink" Target="https://doi.org/10.1080/00343404.2020.1728409" TargetMode="External"/><Relationship Id="rId33" Type="http://schemas.openxmlformats.org/officeDocument/2006/relationships/hyperlink" Target="https://doi.org/10.1016/j.jpubeco.2019.02.005" TargetMode="External"/><Relationship Id="rId38" Type="http://schemas.openxmlformats.org/officeDocument/2006/relationships/hyperlink" Target="https://doi.org/10.1007/s10797-019-09551-0" TargetMode="External"/><Relationship Id="rId46" Type="http://schemas.openxmlformats.org/officeDocument/2006/relationships/hyperlink" Target="https://doi.org/10.1257/jep.33.2.201" TargetMode="External"/><Relationship Id="rId20" Type="http://schemas.openxmlformats.org/officeDocument/2006/relationships/hyperlink" Target="https://doi.org/10.1016/j.jfs.2021.100842" TargetMode="External"/><Relationship Id="rId41" Type="http://schemas.openxmlformats.org/officeDocument/2006/relationships/hyperlink" Target="https://doi.org/10.1787/5b5e9cca-e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goldenratio.id/index.php/grts/index" TargetMode="External"/><Relationship Id="rId2" Type="http://schemas.openxmlformats.org/officeDocument/2006/relationships/hyperlink" Target="https://doi.org/10.52970/grts%20xxxxxxxxxxxxxxx" TargetMode="External"/><Relationship Id="rId1" Type="http://schemas.openxmlformats.org/officeDocument/2006/relationships/image" Target="media/image2.png"/><Relationship Id="rId4" Type="http://schemas.openxmlformats.org/officeDocument/2006/relationships/hyperlink" Target="https://issn.lipi.go.id/terbit/detail/2021042648016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aSIloOV0aFCzhkYyieX8xaBiA==">AMUW2mVPX7zdwPIRao2e7fBbMLal1OgKd+sQlzVVdAuNIdscKSRjtpcGLnGR21uftrk1D3niJYvC7Az2omqYVWc2I76/E8pkYseSbW2Uj4zetj5NczGDNok=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526945-71C7-42B8-A44D-94489ACA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6164</Words>
  <Characters>42533</Characters>
  <Application>Microsoft Office Word</Application>
  <DocSecurity>0</DocSecurity>
  <Lines>574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Halim Putra</dc:creator>
  <cp:lastModifiedBy>Aditya Halim Putra</cp:lastModifiedBy>
  <cp:revision>2</cp:revision>
  <dcterms:created xsi:type="dcterms:W3CDTF">2024-08-29T18:12:00Z</dcterms:created>
  <dcterms:modified xsi:type="dcterms:W3CDTF">2024-08-29T18:12:00Z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fcac5d30a2c9f394ee5515b178c6523fce4977d7ad982d8d89752d3ea850c32d</vt:lpwstr>
  </property>
</Properties>
</file>